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FFB57" w14:textId="77777777" w:rsidR="008B0432" w:rsidRDefault="008B0432" w:rsidP="001F6030">
      <w:pPr>
        <w:rPr>
          <w:noProof/>
        </w:rPr>
      </w:pPr>
    </w:p>
    <w:p w14:paraId="2F7A1AD6" w14:textId="2B7850AB" w:rsidR="00F16266" w:rsidRDefault="00316213" w:rsidP="001F6030">
      <w:r>
        <w:rPr>
          <w:noProof/>
          <w:lang w:eastAsia="en-AU"/>
        </w:rPr>
        <mc:AlternateContent>
          <mc:Choice Requires="wps">
            <w:drawing>
              <wp:anchor distT="0" distB="0" distL="114300" distR="114300" simplePos="0" relativeHeight="251656704" behindDoc="0" locked="0" layoutInCell="1" allowOverlap="1" wp14:anchorId="7328A9CD" wp14:editId="512A253D">
                <wp:simplePos x="0" y="0"/>
                <wp:positionH relativeFrom="column">
                  <wp:posOffset>-561975</wp:posOffset>
                </wp:positionH>
                <wp:positionV relativeFrom="paragraph">
                  <wp:posOffset>202564</wp:posOffset>
                </wp:positionV>
                <wp:extent cx="6867525" cy="9620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62025"/>
                        </a:xfrm>
                        <a:prstGeom prst="rect">
                          <a:avLst/>
                        </a:prstGeom>
                        <a:solidFill>
                          <a:schemeClr val="tx2">
                            <a:lumMod val="20000"/>
                            <a:lumOff val="80000"/>
                          </a:schemeClr>
                        </a:solidFill>
                        <a:ln w="9525">
                          <a:noFill/>
                          <a:miter lim="800000"/>
                          <a:headEnd/>
                          <a:tailEnd/>
                        </a:ln>
                      </wps:spPr>
                      <wps:txbx>
                        <w:txbxContent>
                          <w:p w14:paraId="0D36CD26" w14:textId="77777777" w:rsidR="00D050EF" w:rsidRPr="00D034A9" w:rsidRDefault="00926467">
                            <w:pPr>
                              <w:rPr>
                                <w:rFonts w:cs="Arial"/>
                                <w:sz w:val="20"/>
                                <w:szCs w:val="20"/>
                              </w:rPr>
                            </w:pPr>
                            <w:r w:rsidRPr="00D034A9">
                              <w:rPr>
                                <w:rFonts w:eastAsia="Calibri" w:cs="Arial"/>
                                <w:sz w:val="20"/>
                                <w:szCs w:val="20"/>
                              </w:rPr>
                              <w:t xml:space="preserve">This report describes enteric disease surveillance and investigations carried out during the </w:t>
                            </w:r>
                            <w:r w:rsidR="00BF4F31">
                              <w:rPr>
                                <w:rFonts w:eastAsia="Calibri" w:cs="Arial"/>
                                <w:sz w:val="20"/>
                                <w:szCs w:val="20"/>
                              </w:rPr>
                              <w:t>first</w:t>
                            </w:r>
                            <w:r w:rsidRPr="00D034A9">
                              <w:rPr>
                                <w:rFonts w:eastAsia="Calibri" w:cs="Arial"/>
                                <w:sz w:val="20"/>
                                <w:szCs w:val="20"/>
                              </w:rPr>
                              <w:t xml:space="preserve"> quarter of 20</w:t>
                            </w:r>
                            <w:r w:rsidR="00BF4F31">
                              <w:rPr>
                                <w:rFonts w:eastAsia="Calibri" w:cs="Arial"/>
                                <w:sz w:val="20"/>
                                <w:szCs w:val="20"/>
                              </w:rPr>
                              <w:t>20</w:t>
                            </w:r>
                            <w:r w:rsidR="00D173B1" w:rsidRPr="00D034A9">
                              <w:rPr>
                                <w:rFonts w:eastAsia="Calibri" w:cs="Arial"/>
                                <w:sz w:val="20"/>
                                <w:szCs w:val="20"/>
                              </w:rPr>
                              <w:t xml:space="preserve"> (</w:t>
                            </w:r>
                            <w:r w:rsidR="00BF4F31">
                              <w:rPr>
                                <w:rFonts w:eastAsia="Calibri" w:cs="Arial"/>
                                <w:sz w:val="20"/>
                                <w:szCs w:val="20"/>
                              </w:rPr>
                              <w:t>1</w:t>
                            </w:r>
                            <w:r w:rsidR="00D050EF" w:rsidRPr="00D034A9">
                              <w:rPr>
                                <w:rFonts w:eastAsia="Calibri" w:cs="Arial"/>
                                <w:sz w:val="20"/>
                                <w:szCs w:val="20"/>
                              </w:rPr>
                              <w:t>Q</w:t>
                            </w:r>
                            <w:r w:rsidR="00BF4F31">
                              <w:rPr>
                                <w:rFonts w:eastAsia="Calibri" w:cs="Arial"/>
                                <w:sz w:val="20"/>
                                <w:szCs w:val="20"/>
                              </w:rPr>
                              <w:t>20</w:t>
                            </w:r>
                            <w:r w:rsidR="00D050EF" w:rsidRPr="00D034A9">
                              <w:rPr>
                                <w:rFonts w:eastAsia="Calibri" w:cs="Arial"/>
                                <w:sz w:val="20"/>
                                <w:szCs w:val="20"/>
                              </w:rPr>
                              <w:t>)</w:t>
                            </w:r>
                            <w:r w:rsidRPr="00D034A9">
                              <w:rPr>
                                <w:rFonts w:eastAsia="Calibri" w:cs="Arial"/>
                                <w:sz w:val="20"/>
                                <w:szCs w:val="20"/>
                              </w:rPr>
                              <w:t xml:space="preserve"> by OzFoodNet WA in conjunction with other Western Australian Department of Health agencies and local governments.</w:t>
                            </w:r>
                            <w:r w:rsidRPr="00D034A9">
                              <w:rPr>
                                <w:rFonts w:cs="Arial"/>
                                <w:sz w:val="20"/>
                                <w:szCs w:val="20"/>
                              </w:rPr>
                              <w:t xml:space="preserve"> </w:t>
                            </w:r>
                          </w:p>
                          <w:p w14:paraId="0A68F0A4" w14:textId="77777777" w:rsidR="006F36F0" w:rsidRPr="00D034A9" w:rsidRDefault="00926467">
                            <w:pPr>
                              <w:rPr>
                                <w:rFonts w:cs="Arial"/>
                                <w:szCs w:val="24"/>
                              </w:rPr>
                            </w:pPr>
                            <w:r w:rsidRPr="00D034A9">
                              <w:rPr>
                                <w:rFonts w:cs="Arial"/>
                                <w:sz w:val="20"/>
                                <w:szCs w:val="20"/>
                              </w:rPr>
                              <w:t>Some of the increase in notifications is likely to be due to the introduction of polymerase chain reaction (PCR) testing of faecal specimens which has greater sensitivity than culture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8A9CD" id="_x0000_t202" coordsize="21600,21600" o:spt="202" path="m,l,21600r21600,l21600,xe">
                <v:stroke joinstyle="miter"/>
                <v:path gradientshapeok="t" o:connecttype="rect"/>
              </v:shapetype>
              <v:shape id="Text Box 2" o:spid="_x0000_s1026" type="#_x0000_t202" style="position:absolute;margin-left:-44.25pt;margin-top:15.95pt;width:540.75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" fillcolor="#d7dded [671]" stroked="f">
                <v:textbox>
                  <w:txbxContent>
                    <w:p w14:paraId="0D36CD26" w14:textId="77777777" w:rsidR="00D050EF" w:rsidRPr="00D034A9" w:rsidRDefault="00926467">
                      <w:pPr>
                        <w:rPr>
                          <w:rFonts w:cs="Arial"/>
                          <w:sz w:val="20"/>
                          <w:szCs w:val="20"/>
                        </w:rPr>
                      </w:pPr>
                      <w:r w:rsidRPr="00D034A9">
                        <w:rPr>
                          <w:rFonts w:eastAsia="Calibri" w:cs="Arial"/>
                          <w:sz w:val="20"/>
                          <w:szCs w:val="20"/>
                        </w:rPr>
                        <w:t xml:space="preserve">This report describes enteric disease surveillance and investigations carried out during the </w:t>
                      </w:r>
                      <w:r w:rsidR="00BF4F31">
                        <w:rPr>
                          <w:rFonts w:eastAsia="Calibri" w:cs="Arial"/>
                          <w:sz w:val="20"/>
                          <w:szCs w:val="20"/>
                        </w:rPr>
                        <w:t>first</w:t>
                      </w:r>
                      <w:r w:rsidRPr="00D034A9">
                        <w:rPr>
                          <w:rFonts w:eastAsia="Calibri" w:cs="Arial"/>
                          <w:sz w:val="20"/>
                          <w:szCs w:val="20"/>
                        </w:rPr>
                        <w:t xml:space="preserve"> quarter of 20</w:t>
                      </w:r>
                      <w:r w:rsidR="00BF4F31">
                        <w:rPr>
                          <w:rFonts w:eastAsia="Calibri" w:cs="Arial"/>
                          <w:sz w:val="20"/>
                          <w:szCs w:val="20"/>
                        </w:rPr>
                        <w:t>20</w:t>
                      </w:r>
                      <w:r w:rsidR="00D173B1" w:rsidRPr="00D034A9">
                        <w:rPr>
                          <w:rFonts w:eastAsia="Calibri" w:cs="Arial"/>
                          <w:sz w:val="20"/>
                          <w:szCs w:val="20"/>
                        </w:rPr>
                        <w:t xml:space="preserve"> (</w:t>
                      </w:r>
                      <w:r w:rsidR="00BF4F31">
                        <w:rPr>
                          <w:rFonts w:eastAsia="Calibri" w:cs="Arial"/>
                          <w:sz w:val="20"/>
                          <w:szCs w:val="20"/>
                        </w:rPr>
                        <w:t>1</w:t>
                      </w:r>
                      <w:r w:rsidR="00D050EF" w:rsidRPr="00D034A9">
                        <w:rPr>
                          <w:rFonts w:eastAsia="Calibri" w:cs="Arial"/>
                          <w:sz w:val="20"/>
                          <w:szCs w:val="20"/>
                        </w:rPr>
                        <w:t>Q</w:t>
                      </w:r>
                      <w:r w:rsidR="00BF4F31">
                        <w:rPr>
                          <w:rFonts w:eastAsia="Calibri" w:cs="Arial"/>
                          <w:sz w:val="20"/>
                          <w:szCs w:val="20"/>
                        </w:rPr>
                        <w:t>20</w:t>
                      </w:r>
                      <w:r w:rsidR="00D050EF" w:rsidRPr="00D034A9">
                        <w:rPr>
                          <w:rFonts w:eastAsia="Calibri" w:cs="Arial"/>
                          <w:sz w:val="20"/>
                          <w:szCs w:val="20"/>
                        </w:rPr>
                        <w:t>)</w:t>
                      </w:r>
                      <w:r w:rsidRPr="00D034A9">
                        <w:rPr>
                          <w:rFonts w:eastAsia="Calibri" w:cs="Arial"/>
                          <w:sz w:val="20"/>
                          <w:szCs w:val="20"/>
                        </w:rPr>
                        <w:t xml:space="preserve"> by OzFoodNet WA in conjunction with other Western Australian Department of Health agencies and local governments.</w:t>
                      </w:r>
                      <w:r w:rsidRPr="00D034A9">
                        <w:rPr>
                          <w:rFonts w:cs="Arial"/>
                          <w:sz w:val="20"/>
                          <w:szCs w:val="20"/>
                        </w:rPr>
                        <w:t xml:space="preserve"> </w:t>
                      </w:r>
                    </w:p>
                    <w:p w14:paraId="0A68F0A4" w14:textId="77777777" w:rsidR="006F36F0" w:rsidRPr="00D034A9" w:rsidRDefault="00926467">
                      <w:pPr>
                        <w:rPr>
                          <w:rFonts w:cs="Arial"/>
                          <w:szCs w:val="24"/>
                        </w:rPr>
                      </w:pPr>
                      <w:r w:rsidRPr="00D034A9">
                        <w:rPr>
                          <w:rFonts w:cs="Arial"/>
                          <w:sz w:val="20"/>
                          <w:szCs w:val="20"/>
                        </w:rPr>
                        <w:t>Some of the increase in notifications is likely to be due to the introduction of polymerase chain reaction (PCR) testing of faecal specimens which has greater sensitivity than culture techniques.</w:t>
                      </w:r>
                    </w:p>
                  </w:txbxContent>
                </v:textbox>
              </v:shape>
            </w:pict>
          </mc:Fallback>
        </mc:AlternateContent>
      </w:r>
      <w:r w:rsidR="00C6252C" w:rsidRPr="006F36F0">
        <w:rPr>
          <w:noProof/>
          <w:lang w:eastAsia="en-AU"/>
        </w:rPr>
        <mc:AlternateContent>
          <mc:Choice Requires="wps">
            <w:drawing>
              <wp:anchor distT="0" distB="0" distL="114300" distR="114300" simplePos="0" relativeHeight="251658752" behindDoc="0" locked="0" layoutInCell="1" allowOverlap="1" wp14:anchorId="7AE064D8" wp14:editId="29C3285F">
                <wp:simplePos x="0" y="0"/>
                <wp:positionH relativeFrom="column">
                  <wp:posOffset>-1351280</wp:posOffset>
                </wp:positionH>
                <wp:positionV relativeFrom="paragraph">
                  <wp:posOffset>-175260</wp:posOffset>
                </wp:positionV>
                <wp:extent cx="8340725" cy="381635"/>
                <wp:effectExtent l="0" t="0" r="0" b="0"/>
                <wp:wrapNone/>
                <wp:docPr id="6" name="TextBox 5"/>
                <wp:cNvGraphicFramePr/>
                <a:graphic xmlns:a="http://schemas.openxmlformats.org/drawingml/2006/main">
                  <a:graphicData uri="http://schemas.microsoft.com/office/word/2010/wordprocessingShape">
                    <wps:wsp>
                      <wps:cNvSpPr txBox="1"/>
                      <wps:spPr>
                        <a:xfrm>
                          <a:off x="0" y="0"/>
                          <a:ext cx="8340725" cy="381635"/>
                        </a:xfrm>
                        <a:prstGeom prst="rect">
                          <a:avLst/>
                        </a:prstGeom>
                        <a:noFill/>
                      </wps:spPr>
                      <wps:txbx>
                        <w:txbxContent>
                          <w:p w14:paraId="063F055C" w14:textId="77777777" w:rsidR="006F36F0" w:rsidRPr="00143F9C" w:rsidRDefault="006F36F0" w:rsidP="006F36F0">
                            <w:pPr>
                              <w:pStyle w:val="NormalWeb"/>
                              <w:spacing w:before="0" w:beforeAutospacing="0" w:after="0" w:afterAutospacing="0"/>
                              <w:jc w:val="center"/>
                              <w:rPr>
                                <w:rFonts w:ascii="Arial" w:hAnsi="Arial" w:cs="Arial"/>
                                <w:b/>
                                <w:color w:val="465E9C" w:themeColor="text2"/>
                                <w:sz w:val="34"/>
                                <w:szCs w:val="34"/>
                              </w:rPr>
                            </w:pPr>
                            <w:r w:rsidRPr="00143F9C">
                              <w:rPr>
                                <w:rFonts w:ascii="Arial" w:hAnsi="Arial" w:cs="Arial"/>
                                <w:b/>
                                <w:bCs/>
                                <w:color w:val="465E9C" w:themeColor="text2"/>
                                <w:kern w:val="24"/>
                                <w:sz w:val="34"/>
                                <w:szCs w:val="34"/>
                              </w:rPr>
                              <w:t>OzFoodNet Ente</w:t>
                            </w:r>
                            <w:r w:rsidR="002A1586" w:rsidRPr="00143F9C">
                              <w:rPr>
                                <w:rFonts w:ascii="Arial" w:hAnsi="Arial" w:cs="Arial"/>
                                <w:b/>
                                <w:bCs/>
                                <w:color w:val="465E9C" w:themeColor="text2"/>
                                <w:kern w:val="24"/>
                                <w:sz w:val="34"/>
                                <w:szCs w:val="34"/>
                              </w:rPr>
                              <w:t xml:space="preserve">ric Disease Surveillance Report </w:t>
                            </w:r>
                            <w:r w:rsidR="00BF4F31">
                              <w:rPr>
                                <w:rFonts w:ascii="Arial" w:hAnsi="Arial" w:cs="Arial"/>
                                <w:b/>
                                <w:bCs/>
                                <w:color w:val="465E9C" w:themeColor="text2"/>
                                <w:kern w:val="24"/>
                                <w:sz w:val="34"/>
                                <w:szCs w:val="34"/>
                              </w:rPr>
                              <w:t>1</w:t>
                            </w:r>
                            <w:r w:rsidR="00BF4F31" w:rsidRPr="00BF4F31">
                              <w:rPr>
                                <w:rFonts w:ascii="Arial" w:hAnsi="Arial" w:cs="Arial"/>
                                <w:b/>
                                <w:bCs/>
                                <w:color w:val="465E9C" w:themeColor="text2"/>
                                <w:kern w:val="24"/>
                                <w:sz w:val="34"/>
                                <w:szCs w:val="34"/>
                                <w:vertAlign w:val="superscript"/>
                              </w:rPr>
                              <w:t>st</w:t>
                            </w:r>
                            <w:r w:rsidR="00BF4F31">
                              <w:rPr>
                                <w:rFonts w:ascii="Arial" w:hAnsi="Arial" w:cs="Arial"/>
                                <w:b/>
                                <w:bCs/>
                                <w:color w:val="465E9C" w:themeColor="text2"/>
                                <w:kern w:val="24"/>
                                <w:sz w:val="34"/>
                                <w:szCs w:val="34"/>
                              </w:rPr>
                              <w:t xml:space="preserve"> </w:t>
                            </w:r>
                            <w:r w:rsidRPr="00143F9C">
                              <w:rPr>
                                <w:rFonts w:ascii="Arial" w:hAnsi="Arial" w:cs="Arial"/>
                                <w:b/>
                                <w:bCs/>
                                <w:color w:val="465E9C" w:themeColor="text2"/>
                                <w:kern w:val="24"/>
                                <w:sz w:val="34"/>
                                <w:szCs w:val="34"/>
                              </w:rPr>
                              <w:t>Quarter 20</w:t>
                            </w:r>
                            <w:r w:rsidR="00BF4F31">
                              <w:rPr>
                                <w:rFonts w:ascii="Arial" w:hAnsi="Arial" w:cs="Arial"/>
                                <w:b/>
                                <w:bCs/>
                                <w:color w:val="465E9C" w:themeColor="text2"/>
                                <w:kern w:val="24"/>
                                <w:sz w:val="34"/>
                                <w:szCs w:val="34"/>
                              </w:rPr>
                              <w:t>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E064D8" id="TextBox 5" o:spid="_x0000_s1027" type="#_x0000_t202" style="position:absolute;margin-left:-106.4pt;margin-top:-13.8pt;width:656.75pt;height:3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" filled="f" stroked="f">
                <v:textbox>
                  <w:txbxContent>
                    <w:p w14:paraId="063F055C" w14:textId="77777777" w:rsidR="006F36F0" w:rsidRPr="00143F9C" w:rsidRDefault="006F36F0" w:rsidP="006F36F0">
                      <w:pPr>
                        <w:pStyle w:val="NormalWeb"/>
                        <w:spacing w:before="0" w:beforeAutospacing="0" w:after="0" w:afterAutospacing="0"/>
                        <w:jc w:val="center"/>
                        <w:rPr>
                          <w:rFonts w:ascii="Arial" w:hAnsi="Arial" w:cs="Arial"/>
                          <w:b/>
                          <w:color w:val="465E9C" w:themeColor="text2"/>
                          <w:sz w:val="34"/>
                          <w:szCs w:val="34"/>
                        </w:rPr>
                      </w:pPr>
                      <w:r w:rsidRPr="00143F9C">
                        <w:rPr>
                          <w:rFonts w:ascii="Arial" w:hAnsi="Arial" w:cs="Arial"/>
                          <w:b/>
                          <w:bCs/>
                          <w:color w:val="465E9C" w:themeColor="text2"/>
                          <w:kern w:val="24"/>
                          <w:sz w:val="34"/>
                          <w:szCs w:val="34"/>
                        </w:rPr>
                        <w:t>OzFoodNet Ente</w:t>
                      </w:r>
                      <w:r w:rsidR="002A1586" w:rsidRPr="00143F9C">
                        <w:rPr>
                          <w:rFonts w:ascii="Arial" w:hAnsi="Arial" w:cs="Arial"/>
                          <w:b/>
                          <w:bCs/>
                          <w:color w:val="465E9C" w:themeColor="text2"/>
                          <w:kern w:val="24"/>
                          <w:sz w:val="34"/>
                          <w:szCs w:val="34"/>
                        </w:rPr>
                        <w:t xml:space="preserve">ric Disease Surveillance Report </w:t>
                      </w:r>
                      <w:r w:rsidR="00BF4F31">
                        <w:rPr>
                          <w:rFonts w:ascii="Arial" w:hAnsi="Arial" w:cs="Arial"/>
                          <w:b/>
                          <w:bCs/>
                          <w:color w:val="465E9C" w:themeColor="text2"/>
                          <w:kern w:val="24"/>
                          <w:sz w:val="34"/>
                          <w:szCs w:val="34"/>
                        </w:rPr>
                        <w:t>1</w:t>
                      </w:r>
                      <w:r w:rsidR="00BF4F31" w:rsidRPr="00BF4F31">
                        <w:rPr>
                          <w:rFonts w:ascii="Arial" w:hAnsi="Arial" w:cs="Arial"/>
                          <w:b/>
                          <w:bCs/>
                          <w:color w:val="465E9C" w:themeColor="text2"/>
                          <w:kern w:val="24"/>
                          <w:sz w:val="34"/>
                          <w:szCs w:val="34"/>
                          <w:vertAlign w:val="superscript"/>
                        </w:rPr>
                        <w:t>st</w:t>
                      </w:r>
                      <w:r w:rsidR="00BF4F31">
                        <w:rPr>
                          <w:rFonts w:ascii="Arial" w:hAnsi="Arial" w:cs="Arial"/>
                          <w:b/>
                          <w:bCs/>
                          <w:color w:val="465E9C" w:themeColor="text2"/>
                          <w:kern w:val="24"/>
                          <w:sz w:val="34"/>
                          <w:szCs w:val="34"/>
                        </w:rPr>
                        <w:t xml:space="preserve"> </w:t>
                      </w:r>
                      <w:r w:rsidRPr="00143F9C">
                        <w:rPr>
                          <w:rFonts w:ascii="Arial" w:hAnsi="Arial" w:cs="Arial"/>
                          <w:b/>
                          <w:bCs/>
                          <w:color w:val="465E9C" w:themeColor="text2"/>
                          <w:kern w:val="24"/>
                          <w:sz w:val="34"/>
                          <w:szCs w:val="34"/>
                        </w:rPr>
                        <w:t>Quarter 20</w:t>
                      </w:r>
                      <w:r w:rsidR="00BF4F31">
                        <w:rPr>
                          <w:rFonts w:ascii="Arial" w:hAnsi="Arial" w:cs="Arial"/>
                          <w:b/>
                          <w:bCs/>
                          <w:color w:val="465E9C" w:themeColor="text2"/>
                          <w:kern w:val="24"/>
                          <w:sz w:val="34"/>
                          <w:szCs w:val="34"/>
                        </w:rPr>
                        <w:t>20</w:t>
                      </w:r>
                    </w:p>
                  </w:txbxContent>
                </v:textbox>
              </v:shape>
            </w:pict>
          </mc:Fallback>
        </mc:AlternateContent>
      </w:r>
      <w:r w:rsidR="00BE50E9" w:rsidRPr="00FC2612">
        <w:rPr>
          <w:noProof/>
          <w:color w:val="899BCA" w:themeColor="text2" w:themeTint="99"/>
          <w:sz w:val="44"/>
          <w:szCs w:val="44"/>
          <w:lang w:eastAsia="en-AU"/>
        </w:rPr>
        <mc:AlternateContent>
          <mc:Choice Requires="wps">
            <w:drawing>
              <wp:anchor distT="0" distB="0" distL="114300" distR="114300" simplePos="0" relativeHeight="251664896" behindDoc="0" locked="0" layoutInCell="1" allowOverlap="1" wp14:anchorId="7E46A4CD" wp14:editId="772D427B">
                <wp:simplePos x="0" y="0"/>
                <wp:positionH relativeFrom="column">
                  <wp:posOffset>4831715</wp:posOffset>
                </wp:positionH>
                <wp:positionV relativeFrom="paragraph">
                  <wp:posOffset>-591820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1929E" w14:textId="77777777" w:rsidR="002A1586" w:rsidRPr="002A3F93" w:rsidRDefault="002A1586" w:rsidP="002A1586">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A4CD" id="Text Box 7" o:spid="_x0000_s1028" type="#_x0000_t202" style="position:absolute;margin-left:380.45pt;margin-top:-46.6pt;width:148.35pt;height:2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" stroked="f">
                <v:textbox inset=".5mm,.3mm,.5mm,.3mm">
                  <w:txbxContent>
                    <w:p w14:paraId="3761929E" w14:textId="77777777" w:rsidR="002A1586" w:rsidRPr="002A3F93" w:rsidRDefault="002A1586" w:rsidP="002A1586">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sidR="00BE50E9" w:rsidRPr="005504C9">
        <w:rPr>
          <w:noProof/>
          <w:lang w:eastAsia="en-AU"/>
        </w:rPr>
        <w:drawing>
          <wp:anchor distT="0" distB="0" distL="114300" distR="114300" simplePos="0" relativeHeight="251663872" behindDoc="0" locked="0" layoutInCell="1" allowOverlap="1" wp14:anchorId="1E5C6C2F" wp14:editId="5AAF1885">
            <wp:simplePos x="0" y="0"/>
            <wp:positionH relativeFrom="column">
              <wp:posOffset>3977640</wp:posOffset>
            </wp:positionH>
            <wp:positionV relativeFrom="paragraph">
              <wp:posOffset>-720090</wp:posOffset>
            </wp:positionV>
            <wp:extent cx="837565" cy="53213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7565" cy="532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50E9">
        <w:rPr>
          <w:noProof/>
          <w:lang w:eastAsia="en-AU"/>
        </w:rPr>
        <w:drawing>
          <wp:anchor distT="0" distB="0" distL="114300" distR="114300" simplePos="0" relativeHeight="251660800" behindDoc="0" locked="0" layoutInCell="1" allowOverlap="1" wp14:anchorId="0A4C912B" wp14:editId="3669D2D9">
            <wp:simplePos x="0" y="0"/>
            <wp:positionH relativeFrom="column">
              <wp:posOffset>-786765</wp:posOffset>
            </wp:positionH>
            <wp:positionV relativeFrom="paragraph">
              <wp:posOffset>-632984</wp:posOffset>
            </wp:positionV>
            <wp:extent cx="2423160" cy="445135"/>
            <wp:effectExtent l="0" t="0" r="0" b="0"/>
            <wp:wrapNone/>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_of_health_long_colour_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3160" cy="445135"/>
                    </a:xfrm>
                    <a:prstGeom prst="rect">
                      <a:avLst/>
                    </a:prstGeom>
                  </pic:spPr>
                </pic:pic>
              </a:graphicData>
            </a:graphic>
            <wp14:sizeRelH relativeFrom="page">
              <wp14:pctWidth>0</wp14:pctWidth>
            </wp14:sizeRelH>
            <wp14:sizeRelV relativeFrom="page">
              <wp14:pctHeight>0</wp14:pctHeight>
            </wp14:sizeRelV>
          </wp:anchor>
        </w:drawing>
      </w:r>
    </w:p>
    <w:p w14:paraId="7A646299" w14:textId="5CDF8931" w:rsidR="009C4DFF" w:rsidRDefault="002E4566" w:rsidP="009C4DFF">
      <w:pPr>
        <w:spacing w:after="200" w:line="276" w:lineRule="auto"/>
      </w:pPr>
      <w:r>
        <w:rPr>
          <w:b/>
          <w:noProof/>
          <w:color w:val="FF0000"/>
          <w:lang w:eastAsia="en-AU"/>
        </w:rPr>
        <mc:AlternateContent>
          <mc:Choice Requires="wps">
            <w:drawing>
              <wp:anchor distT="0" distB="0" distL="114300" distR="114300" simplePos="0" relativeHeight="251654656" behindDoc="0" locked="0" layoutInCell="1" allowOverlap="1" wp14:anchorId="7490E1C2" wp14:editId="6DC54B49">
                <wp:simplePos x="0" y="0"/>
                <wp:positionH relativeFrom="column">
                  <wp:posOffset>-564204</wp:posOffset>
                </wp:positionH>
                <wp:positionV relativeFrom="paragraph">
                  <wp:posOffset>8042559</wp:posOffset>
                </wp:positionV>
                <wp:extent cx="6852285" cy="53484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52285" cy="534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49CA0" w14:textId="77777777" w:rsidR="0066016D" w:rsidRDefault="00E842C2" w:rsidP="00BE50E9">
                            <w:pPr>
                              <w:spacing w:after="0"/>
                              <w:rPr>
                                <w:rFonts w:ascii="Calibri" w:hAnsi="Calibri"/>
                                <w:color w:val="005B38"/>
                                <w:sz w:val="14"/>
                              </w:rPr>
                            </w:pPr>
                            <w:r w:rsidRPr="00B70DAF">
                              <w:rPr>
                                <w:rFonts w:ascii="Calibri" w:eastAsia="+mn-ea" w:hAnsi="Calibri" w:cs="+mn-cs"/>
                                <w:b/>
                                <w:bCs/>
                                <w:color w:val="465E9C" w:themeColor="text2"/>
                                <w:kern w:val="24"/>
                                <w:sz w:val="22"/>
                                <w:szCs w:val="32"/>
                                <w:lang w:eastAsia="en-AU"/>
                              </w:rPr>
                              <w:t xml:space="preserve">Appendix 1 </w:t>
                            </w:r>
                            <w:r w:rsidRPr="00B70DAF">
                              <w:rPr>
                                <w:rFonts w:ascii="Calibri" w:eastAsia="+mn-ea" w:hAnsi="Calibri" w:cs="+mn-cs"/>
                                <w:bCs/>
                                <w:color w:val="465E9C" w:themeColor="text2"/>
                                <w:kern w:val="24"/>
                                <w:sz w:val="22"/>
                                <w:szCs w:val="32"/>
                                <w:lang w:eastAsia="en-AU"/>
                              </w:rPr>
                              <w:t>Enteric diseases by public health region:</w:t>
                            </w:r>
                            <w:r w:rsidRPr="00B70DAF">
                              <w:rPr>
                                <w:rFonts w:ascii="Calibri" w:hAnsi="Calibri"/>
                                <w:color w:val="005B38"/>
                                <w:sz w:val="14"/>
                              </w:rPr>
                              <w:t xml:space="preserve"> </w:t>
                            </w:r>
                          </w:p>
                          <w:p w14:paraId="3E4153D5" w14:textId="2827F204" w:rsidR="00732A7B" w:rsidRPr="002E4566" w:rsidRDefault="00A40760" w:rsidP="00732A7B">
                            <w:pPr>
                              <w:spacing w:after="0"/>
                              <w:rPr>
                                <w:rFonts w:ascii="Calibri" w:hAnsi="Calibri"/>
                                <w:color w:val="004B8D"/>
                                <w:sz w:val="18"/>
                                <w:szCs w:val="18"/>
                                <w:u w:val="single"/>
                              </w:rPr>
                            </w:pPr>
                            <w:hyperlink r:id="rId10" w:history="1">
                              <w:r w:rsidR="00732A7B" w:rsidRPr="002E4566">
                                <w:rPr>
                                  <w:rStyle w:val="Hyperlink"/>
                                  <w:rFonts w:ascii="Calibri" w:hAnsi="Calibri"/>
                                  <w:sz w:val="18"/>
                                  <w:szCs w:val="18"/>
                                </w:rPr>
                                <w:t>https://ww2.health.wa.gov.au/-/media/Corp/Documents/Health for/Infectious disease/</w:t>
                              </w:r>
                              <w:proofErr w:type="spellStart"/>
                              <w:r w:rsidR="00732A7B" w:rsidRPr="002E4566">
                                <w:rPr>
                                  <w:rStyle w:val="Hyperlink"/>
                                  <w:rFonts w:ascii="Calibri" w:hAnsi="Calibri"/>
                                  <w:sz w:val="18"/>
                                  <w:szCs w:val="18"/>
                                </w:rPr>
                                <w:t>OZfoodnet</w:t>
                              </w:r>
                              <w:proofErr w:type="spellEnd"/>
                              <w:r w:rsidR="00732A7B" w:rsidRPr="002E4566">
                                <w:rPr>
                                  <w:rStyle w:val="Hyperlink"/>
                                  <w:rFonts w:ascii="Calibri" w:hAnsi="Calibri"/>
                                  <w:sz w:val="18"/>
                                  <w:szCs w:val="18"/>
                                </w:rPr>
                                <w:t>/Word/WA-OzFoodnet-appendix1-2020-Q1.docx</w:t>
                              </w:r>
                            </w:hyperlink>
                            <w:r w:rsidR="00732A7B" w:rsidRPr="002E4566">
                              <w:rPr>
                                <w:rFonts w:ascii="Calibri" w:hAnsi="Calibri"/>
                                <w:color w:val="004B8D"/>
                                <w:sz w:val="18"/>
                                <w:szCs w:val="18"/>
                                <w:u w:val="single"/>
                              </w:rPr>
                              <w:t xml:space="preserve"> </w:t>
                            </w:r>
                          </w:p>
                          <w:p w14:paraId="07097986" w14:textId="09A29BD8" w:rsidR="00A6066D" w:rsidRPr="00A6066D" w:rsidRDefault="00A6066D" w:rsidP="00732A7B">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E1C2" id="Text Box 21" o:spid="_x0000_s1029" type="#_x0000_t202" style="position:absolute;margin-left:-44.45pt;margin-top:633.25pt;width:539.55pt;height:4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" filled="f" stroked="f" strokeweight=".5pt">
                <v:textbox>
                  <w:txbxContent>
                    <w:p w14:paraId="56549CA0" w14:textId="77777777" w:rsidR="0066016D" w:rsidRDefault="00E842C2" w:rsidP="00BE50E9">
                      <w:pPr>
                        <w:spacing w:after="0"/>
                        <w:rPr>
                          <w:rFonts w:ascii="Calibri" w:hAnsi="Calibri"/>
                          <w:color w:val="005B38"/>
                          <w:sz w:val="14"/>
                        </w:rPr>
                      </w:pPr>
                      <w:r w:rsidRPr="00B70DAF">
                        <w:rPr>
                          <w:rFonts w:ascii="Calibri" w:eastAsia="+mn-ea" w:hAnsi="Calibri" w:cs="+mn-cs"/>
                          <w:b/>
                          <w:bCs/>
                          <w:color w:val="465E9C" w:themeColor="text2"/>
                          <w:kern w:val="24"/>
                          <w:sz w:val="22"/>
                          <w:szCs w:val="32"/>
                          <w:lang w:eastAsia="en-AU"/>
                        </w:rPr>
                        <w:t xml:space="preserve">Appendix 1 </w:t>
                      </w:r>
                      <w:r w:rsidRPr="00B70DAF">
                        <w:rPr>
                          <w:rFonts w:ascii="Calibri" w:eastAsia="+mn-ea" w:hAnsi="Calibri" w:cs="+mn-cs"/>
                          <w:bCs/>
                          <w:color w:val="465E9C" w:themeColor="text2"/>
                          <w:kern w:val="24"/>
                          <w:sz w:val="22"/>
                          <w:szCs w:val="32"/>
                          <w:lang w:eastAsia="en-AU"/>
                        </w:rPr>
                        <w:t>Enteric diseases by public health region:</w:t>
                      </w:r>
                      <w:r w:rsidRPr="00B70DAF">
                        <w:rPr>
                          <w:rFonts w:ascii="Calibri" w:hAnsi="Calibri"/>
                          <w:color w:val="005B38"/>
                          <w:sz w:val="14"/>
                        </w:rPr>
                        <w:t xml:space="preserve"> </w:t>
                      </w:r>
                    </w:p>
                    <w:p w14:paraId="3E4153D5" w14:textId="2827F204" w:rsidR="00732A7B" w:rsidRPr="002E4566" w:rsidRDefault="00A40760" w:rsidP="00732A7B">
                      <w:pPr>
                        <w:spacing w:after="0"/>
                        <w:rPr>
                          <w:rFonts w:ascii="Calibri" w:hAnsi="Calibri"/>
                          <w:color w:val="004B8D"/>
                          <w:sz w:val="18"/>
                          <w:szCs w:val="18"/>
                          <w:u w:val="single"/>
                        </w:rPr>
                      </w:pPr>
                      <w:hyperlink r:id="rId11" w:history="1">
                        <w:r w:rsidR="00732A7B" w:rsidRPr="002E4566">
                          <w:rPr>
                            <w:rStyle w:val="Hyperlink"/>
                            <w:rFonts w:ascii="Calibri" w:hAnsi="Calibri"/>
                            <w:sz w:val="18"/>
                            <w:szCs w:val="18"/>
                          </w:rPr>
                          <w:t>https://ww2.health.wa.gov.au/-/media/Corp/Documents/Health for/Infectious disease/</w:t>
                        </w:r>
                        <w:proofErr w:type="spellStart"/>
                        <w:r w:rsidR="00732A7B" w:rsidRPr="002E4566">
                          <w:rPr>
                            <w:rStyle w:val="Hyperlink"/>
                            <w:rFonts w:ascii="Calibri" w:hAnsi="Calibri"/>
                            <w:sz w:val="18"/>
                            <w:szCs w:val="18"/>
                          </w:rPr>
                          <w:t>OZfoodnet</w:t>
                        </w:r>
                        <w:proofErr w:type="spellEnd"/>
                        <w:r w:rsidR="00732A7B" w:rsidRPr="002E4566">
                          <w:rPr>
                            <w:rStyle w:val="Hyperlink"/>
                            <w:rFonts w:ascii="Calibri" w:hAnsi="Calibri"/>
                            <w:sz w:val="18"/>
                            <w:szCs w:val="18"/>
                          </w:rPr>
                          <w:t>/Word/WA-OzFoodnet-appendix1-2020-Q1.docx</w:t>
                        </w:r>
                      </w:hyperlink>
                      <w:r w:rsidR="00732A7B" w:rsidRPr="002E4566">
                        <w:rPr>
                          <w:rFonts w:ascii="Calibri" w:hAnsi="Calibri"/>
                          <w:color w:val="004B8D"/>
                          <w:sz w:val="18"/>
                          <w:szCs w:val="18"/>
                          <w:u w:val="single"/>
                        </w:rPr>
                        <w:t xml:space="preserve"> </w:t>
                      </w:r>
                    </w:p>
                    <w:p w14:paraId="07097986" w14:textId="09A29BD8" w:rsidR="00A6066D" w:rsidRPr="00A6066D" w:rsidRDefault="00A6066D" w:rsidP="00732A7B">
                      <w:pPr>
                        <w:spacing w:after="0"/>
                        <w:rPr>
                          <w:sz w:val="20"/>
                          <w:szCs w:val="20"/>
                        </w:rPr>
                      </w:pPr>
                    </w:p>
                  </w:txbxContent>
                </v:textbox>
              </v:shape>
            </w:pict>
          </mc:Fallback>
        </mc:AlternateContent>
      </w:r>
      <w:r w:rsidR="007B47D8">
        <w:rPr>
          <w:noProof/>
          <w:lang w:eastAsia="en-AU"/>
        </w:rPr>
        <mc:AlternateContent>
          <mc:Choice Requires="wps">
            <w:drawing>
              <wp:anchor distT="0" distB="0" distL="114300" distR="114300" simplePos="0" relativeHeight="251652608" behindDoc="0" locked="0" layoutInCell="1" allowOverlap="1" wp14:anchorId="6D9A6F36" wp14:editId="20D77436">
                <wp:simplePos x="0" y="0"/>
                <wp:positionH relativeFrom="column">
                  <wp:posOffset>-575945</wp:posOffset>
                </wp:positionH>
                <wp:positionV relativeFrom="paragraph">
                  <wp:posOffset>1004570</wp:posOffset>
                </wp:positionV>
                <wp:extent cx="6867525" cy="2949575"/>
                <wp:effectExtent l="0" t="0" r="9525"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949575"/>
                        </a:xfrm>
                        <a:prstGeom prst="rect">
                          <a:avLst/>
                        </a:prstGeom>
                        <a:solidFill>
                          <a:schemeClr val="tx2">
                            <a:lumMod val="20000"/>
                            <a:lumOff val="80000"/>
                            <a:alpha val="50000"/>
                          </a:schemeClr>
                        </a:solidFill>
                        <a:ln w="9525">
                          <a:noFill/>
                          <a:miter lim="800000"/>
                          <a:headEnd/>
                          <a:tailEnd/>
                        </a:ln>
                      </wps:spPr>
                      <wps:txbx>
                        <w:txbxContent>
                          <w:p w14:paraId="2F70CE48" w14:textId="76E943B9" w:rsidR="006F36F0" w:rsidRPr="00143F9C" w:rsidRDefault="006F36F0" w:rsidP="002E4566">
                            <w:pPr>
                              <w:spacing w:after="0"/>
                              <w:jc w:val="center"/>
                              <w:rPr>
                                <w:rFonts w:ascii="Times New Roman" w:eastAsia="Times New Roman" w:hAnsi="Times New Roman" w:cs="Times New Roman"/>
                                <w:color w:val="465E9C" w:themeColor="text2"/>
                                <w:sz w:val="32"/>
                                <w:szCs w:val="32"/>
                                <w:lang w:eastAsia="en-AU"/>
                              </w:rPr>
                            </w:pPr>
                            <w:r w:rsidRPr="00143F9C">
                              <w:rPr>
                                <w:rFonts w:ascii="Calibri" w:eastAsia="+mn-ea" w:hAnsi="Calibri" w:cs="+mn-cs"/>
                                <w:b/>
                                <w:bCs/>
                                <w:color w:val="465E9C" w:themeColor="text2"/>
                                <w:kern w:val="24"/>
                                <w:sz w:val="32"/>
                                <w:szCs w:val="32"/>
                                <w:lang w:eastAsia="en-AU"/>
                              </w:rPr>
                              <w:t>Most common enteric di</w:t>
                            </w:r>
                            <w:r w:rsidR="00243C14" w:rsidRPr="00143F9C">
                              <w:rPr>
                                <w:rFonts w:ascii="Calibri" w:eastAsia="+mn-ea" w:hAnsi="Calibri" w:cs="+mn-cs"/>
                                <w:b/>
                                <w:bCs/>
                                <w:color w:val="465E9C" w:themeColor="text2"/>
                                <w:kern w:val="24"/>
                                <w:sz w:val="32"/>
                                <w:szCs w:val="32"/>
                                <w:lang w:eastAsia="en-AU"/>
                              </w:rPr>
                              <w:t xml:space="preserve">sease notifications in Quarter </w:t>
                            </w:r>
                            <w:r w:rsidR="00BF4F31">
                              <w:rPr>
                                <w:rFonts w:ascii="Calibri" w:eastAsia="+mn-ea" w:hAnsi="Calibri" w:cs="+mn-cs"/>
                                <w:b/>
                                <w:bCs/>
                                <w:color w:val="465E9C" w:themeColor="text2"/>
                                <w:kern w:val="24"/>
                                <w:sz w:val="32"/>
                                <w:szCs w:val="32"/>
                                <w:lang w:eastAsia="en-AU"/>
                              </w:rPr>
                              <w:t>1</w:t>
                            </w:r>
                            <w:r w:rsidRPr="00143F9C">
                              <w:rPr>
                                <w:rFonts w:ascii="Calibri" w:eastAsia="+mn-ea" w:hAnsi="Calibri" w:cs="+mn-cs"/>
                                <w:b/>
                                <w:bCs/>
                                <w:color w:val="465E9C" w:themeColor="text2"/>
                                <w:kern w:val="24"/>
                                <w:sz w:val="32"/>
                                <w:szCs w:val="32"/>
                                <w:lang w:eastAsia="en-AU"/>
                              </w:rPr>
                              <w:t xml:space="preserve"> 20</w:t>
                            </w:r>
                            <w:r w:rsidR="00BF4F31">
                              <w:rPr>
                                <w:rFonts w:ascii="Calibri" w:eastAsia="+mn-ea" w:hAnsi="Calibri" w:cs="+mn-cs"/>
                                <w:b/>
                                <w:bCs/>
                                <w:color w:val="465E9C" w:themeColor="text2"/>
                                <w:kern w:val="24"/>
                                <w:sz w:val="32"/>
                                <w:szCs w:val="32"/>
                                <w:lang w:eastAsia="en-AU"/>
                              </w:rPr>
                              <w:t>20</w:t>
                            </w:r>
                            <w:r w:rsidR="00F03551">
                              <w:rPr>
                                <w:noProof/>
                              </w:rPr>
                              <w:drawing>
                                <wp:inline distT="0" distB="0" distL="0" distR="0" wp14:anchorId="6DD812CE" wp14:editId="04EBDDED">
                                  <wp:extent cx="6692629" cy="2810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821"/>
                                          <a:stretch/>
                                        </pic:blipFill>
                                        <pic:spPr bwMode="auto">
                                          <a:xfrm>
                                            <a:off x="0" y="0"/>
                                            <a:ext cx="6795820" cy="28543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6F36" id="_x0000_s1030" type="#_x0000_t202" style="position:absolute;margin-left:-45.35pt;margin-top:79.1pt;width:540.75pt;height:2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" fillcolor="#d7dded [671]" stroked="f">
                <v:fill opacity="32896f"/>
                <v:textbox>
                  <w:txbxContent>
                    <w:p w14:paraId="2F70CE48" w14:textId="76E943B9" w:rsidR="006F36F0" w:rsidRPr="00143F9C" w:rsidRDefault="006F36F0" w:rsidP="002E4566">
                      <w:pPr>
                        <w:spacing w:after="0"/>
                        <w:jc w:val="center"/>
                        <w:rPr>
                          <w:rFonts w:ascii="Times New Roman" w:eastAsia="Times New Roman" w:hAnsi="Times New Roman" w:cs="Times New Roman"/>
                          <w:color w:val="465E9C" w:themeColor="text2"/>
                          <w:sz w:val="32"/>
                          <w:szCs w:val="32"/>
                          <w:lang w:eastAsia="en-AU"/>
                        </w:rPr>
                      </w:pPr>
                      <w:r w:rsidRPr="00143F9C">
                        <w:rPr>
                          <w:rFonts w:ascii="Calibri" w:eastAsia="+mn-ea" w:hAnsi="Calibri" w:cs="+mn-cs"/>
                          <w:b/>
                          <w:bCs/>
                          <w:color w:val="465E9C" w:themeColor="text2"/>
                          <w:kern w:val="24"/>
                          <w:sz w:val="32"/>
                          <w:szCs w:val="32"/>
                          <w:lang w:eastAsia="en-AU"/>
                        </w:rPr>
                        <w:t>Most common enteric di</w:t>
                      </w:r>
                      <w:r w:rsidR="00243C14" w:rsidRPr="00143F9C">
                        <w:rPr>
                          <w:rFonts w:ascii="Calibri" w:eastAsia="+mn-ea" w:hAnsi="Calibri" w:cs="+mn-cs"/>
                          <w:b/>
                          <w:bCs/>
                          <w:color w:val="465E9C" w:themeColor="text2"/>
                          <w:kern w:val="24"/>
                          <w:sz w:val="32"/>
                          <w:szCs w:val="32"/>
                          <w:lang w:eastAsia="en-AU"/>
                        </w:rPr>
                        <w:t xml:space="preserve">sease notifications in Quarter </w:t>
                      </w:r>
                      <w:r w:rsidR="00BF4F31">
                        <w:rPr>
                          <w:rFonts w:ascii="Calibri" w:eastAsia="+mn-ea" w:hAnsi="Calibri" w:cs="+mn-cs"/>
                          <w:b/>
                          <w:bCs/>
                          <w:color w:val="465E9C" w:themeColor="text2"/>
                          <w:kern w:val="24"/>
                          <w:sz w:val="32"/>
                          <w:szCs w:val="32"/>
                          <w:lang w:eastAsia="en-AU"/>
                        </w:rPr>
                        <w:t>1</w:t>
                      </w:r>
                      <w:r w:rsidRPr="00143F9C">
                        <w:rPr>
                          <w:rFonts w:ascii="Calibri" w:eastAsia="+mn-ea" w:hAnsi="Calibri" w:cs="+mn-cs"/>
                          <w:b/>
                          <w:bCs/>
                          <w:color w:val="465E9C" w:themeColor="text2"/>
                          <w:kern w:val="24"/>
                          <w:sz w:val="32"/>
                          <w:szCs w:val="32"/>
                          <w:lang w:eastAsia="en-AU"/>
                        </w:rPr>
                        <w:t xml:space="preserve"> 20</w:t>
                      </w:r>
                      <w:r w:rsidR="00BF4F31">
                        <w:rPr>
                          <w:rFonts w:ascii="Calibri" w:eastAsia="+mn-ea" w:hAnsi="Calibri" w:cs="+mn-cs"/>
                          <w:b/>
                          <w:bCs/>
                          <w:color w:val="465E9C" w:themeColor="text2"/>
                          <w:kern w:val="24"/>
                          <w:sz w:val="32"/>
                          <w:szCs w:val="32"/>
                          <w:lang w:eastAsia="en-AU"/>
                        </w:rPr>
                        <w:t>20</w:t>
                      </w:r>
                      <w:r w:rsidR="00F03551">
                        <w:rPr>
                          <w:noProof/>
                        </w:rPr>
                        <w:drawing>
                          <wp:inline distT="0" distB="0" distL="0" distR="0" wp14:anchorId="6DD812CE" wp14:editId="04EBDDED">
                            <wp:extent cx="6692629" cy="2810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821"/>
                                    <a:stretch/>
                                  </pic:blipFill>
                                  <pic:spPr bwMode="auto">
                                    <a:xfrm>
                                      <a:off x="0" y="0"/>
                                      <a:ext cx="6795820" cy="28543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E50E9">
        <w:rPr>
          <w:noProof/>
          <w:lang w:eastAsia="en-AU"/>
        </w:rPr>
        <mc:AlternateContent>
          <mc:Choice Requires="wps">
            <w:drawing>
              <wp:anchor distT="0" distB="0" distL="114300" distR="114300" simplePos="0" relativeHeight="251657728" behindDoc="0" locked="0" layoutInCell="1" allowOverlap="1" wp14:anchorId="143829AE" wp14:editId="78A27346">
                <wp:simplePos x="0" y="0"/>
                <wp:positionH relativeFrom="column">
                  <wp:posOffset>-581025</wp:posOffset>
                </wp:positionH>
                <wp:positionV relativeFrom="paragraph">
                  <wp:posOffset>8582025</wp:posOffset>
                </wp:positionV>
                <wp:extent cx="6885305" cy="52451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524510"/>
                        </a:xfrm>
                        <a:prstGeom prst="rect">
                          <a:avLst/>
                        </a:prstGeom>
                        <a:noFill/>
                        <a:ln w="9525">
                          <a:noFill/>
                          <a:miter lim="800000"/>
                          <a:headEnd/>
                          <a:tailEnd/>
                        </a:ln>
                      </wps:spPr>
                      <wps:txbx>
                        <w:txbxContent>
                          <w:p w14:paraId="2064CE36" w14:textId="77777777" w:rsidR="00D723C4" w:rsidRPr="0024249E" w:rsidRDefault="00BE50E9" w:rsidP="0024249E">
                            <w:pPr>
                              <w:rPr>
                                <w:sz w:val="16"/>
                              </w:rPr>
                            </w:pPr>
                            <w:r>
                              <w:rPr>
                                <w:szCs w:val="24"/>
                              </w:rPr>
                              <w:t>*</w:t>
                            </w:r>
                            <w:r w:rsidR="00D723C4" w:rsidRPr="0024249E">
                              <w:rPr>
                                <w:sz w:val="16"/>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829AE" id="_x0000_s1031" type="#_x0000_t202" style="position:absolute;margin-left:-45.75pt;margin-top:675.75pt;width:542.15pt;height:4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" filled="f" stroked="f">
                <v:textbox>
                  <w:txbxContent>
                    <w:p w14:paraId="2064CE36" w14:textId="77777777" w:rsidR="00D723C4" w:rsidRPr="0024249E" w:rsidRDefault="00BE50E9" w:rsidP="0024249E">
                      <w:pPr>
                        <w:rPr>
                          <w:sz w:val="16"/>
                        </w:rPr>
                      </w:pPr>
                      <w:r>
                        <w:rPr>
                          <w:szCs w:val="24"/>
                        </w:rPr>
                        <w:t>*</w:t>
                      </w:r>
                      <w:r w:rsidR="00D723C4" w:rsidRPr="0024249E">
                        <w:rPr>
                          <w:sz w:val="16"/>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txbxContent>
                </v:textbox>
              </v:shape>
            </w:pict>
          </mc:Fallback>
        </mc:AlternateContent>
      </w:r>
      <w:r w:rsidR="00BE50E9">
        <w:rPr>
          <w:noProof/>
          <w:lang w:eastAsia="en-AU"/>
        </w:rPr>
        <mc:AlternateContent>
          <mc:Choice Requires="wps">
            <w:drawing>
              <wp:anchor distT="0" distB="0" distL="114300" distR="114300" simplePos="0" relativeHeight="251653632" behindDoc="0" locked="0" layoutInCell="1" allowOverlap="1" wp14:anchorId="2976B429" wp14:editId="7141AB00">
                <wp:simplePos x="0" y="0"/>
                <wp:positionH relativeFrom="column">
                  <wp:posOffset>-580445</wp:posOffset>
                </wp:positionH>
                <wp:positionV relativeFrom="paragraph">
                  <wp:posOffset>4090007</wp:posOffset>
                </wp:positionV>
                <wp:extent cx="6868795" cy="4492487"/>
                <wp:effectExtent l="0" t="0" r="825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4492487"/>
                        </a:xfrm>
                        <a:prstGeom prst="rect">
                          <a:avLst/>
                        </a:prstGeom>
                        <a:solidFill>
                          <a:schemeClr val="tx2">
                            <a:lumMod val="20000"/>
                            <a:lumOff val="80000"/>
                            <a:alpha val="50000"/>
                          </a:schemeClr>
                        </a:solidFill>
                        <a:ln w="9525">
                          <a:noFill/>
                          <a:miter lim="800000"/>
                          <a:headEnd/>
                          <a:tailEnd/>
                        </a:ln>
                      </wps:spPr>
                      <wps:txbx>
                        <w:txbxContent>
                          <w:p w14:paraId="19E9CE9F" w14:textId="77777777" w:rsidR="00F16266" w:rsidRPr="00E065B7" w:rsidRDefault="00F16266" w:rsidP="00F16266">
                            <w:pPr>
                              <w:jc w:val="center"/>
                              <w:rPr>
                                <w:rFonts w:ascii="Calibri" w:eastAsia="+mn-ea" w:hAnsi="Calibri" w:cs="+mn-cs"/>
                                <w:b/>
                                <w:bCs/>
                                <w:color w:val="465E9C" w:themeColor="text2"/>
                                <w:kern w:val="24"/>
                                <w:sz w:val="32"/>
                                <w:szCs w:val="32"/>
                                <w:lang w:eastAsia="en-AU"/>
                              </w:rPr>
                            </w:pPr>
                            <w:r w:rsidRPr="00E065B7">
                              <w:rPr>
                                <w:rFonts w:ascii="Calibri" w:eastAsia="+mn-ea" w:hAnsi="Calibri" w:cs="+mn-cs"/>
                                <w:b/>
                                <w:bCs/>
                                <w:color w:val="465E9C" w:themeColor="text2"/>
                                <w:kern w:val="24"/>
                                <w:sz w:val="32"/>
                                <w:szCs w:val="32"/>
                                <w:lang w:eastAsia="en-AU"/>
                              </w:rPr>
                              <w:t>Change in enteric disease notifications (</w:t>
                            </w:r>
                            <w:proofErr w:type="gramStart"/>
                            <w:r w:rsidRPr="00E065B7">
                              <w:rPr>
                                <w:rFonts w:ascii="Calibri" w:eastAsia="+mn-ea" w:hAnsi="Calibri" w:cs="+mn-cs"/>
                                <w:b/>
                                <w:bCs/>
                                <w:color w:val="465E9C" w:themeColor="text2"/>
                                <w:kern w:val="24"/>
                                <w:sz w:val="32"/>
                                <w:szCs w:val="32"/>
                                <w:lang w:eastAsia="en-AU"/>
                              </w:rPr>
                              <w:t>%)</w:t>
                            </w:r>
                            <w:r w:rsidR="0024249E" w:rsidRPr="00E065B7">
                              <w:rPr>
                                <w:rFonts w:ascii="Calibri" w:eastAsia="+mn-ea" w:hAnsi="Calibri" w:cs="+mn-cs"/>
                                <w:b/>
                                <w:bCs/>
                                <w:color w:val="465E9C" w:themeColor="text2"/>
                                <w:kern w:val="24"/>
                                <w:sz w:val="28"/>
                                <w:szCs w:val="32"/>
                                <w:lang w:eastAsia="en-AU"/>
                              </w:rPr>
                              <w:t>*</w:t>
                            </w:r>
                            <w:proofErr w:type="gramEnd"/>
                          </w:p>
                          <w:p w14:paraId="39A856B8" w14:textId="1FD47FBF" w:rsidR="00F16266" w:rsidRDefault="00E95736" w:rsidP="00E95736">
                            <w:pPr>
                              <w:jc w:val="center"/>
                            </w:pPr>
                            <w:r>
                              <w:rPr>
                                <w:noProof/>
                              </w:rPr>
                              <w:drawing>
                                <wp:inline distT="0" distB="0" distL="0" distR="0" wp14:anchorId="363594F5" wp14:editId="1E13B8A5">
                                  <wp:extent cx="6047640" cy="3608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403" cy="364940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6B429" id="_x0000_s1032" type="#_x0000_t202" style="position:absolute;margin-left:-45.7pt;margin-top:322.05pt;width:540.85pt;height:35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" fillcolor="#d7dded [671]" stroked="f">
                <v:fill opacity="32896f"/>
                <v:textbox>
                  <w:txbxContent>
                    <w:p w14:paraId="19E9CE9F" w14:textId="77777777" w:rsidR="00F16266" w:rsidRPr="00E065B7" w:rsidRDefault="00F16266" w:rsidP="00F16266">
                      <w:pPr>
                        <w:jc w:val="center"/>
                        <w:rPr>
                          <w:rFonts w:ascii="Calibri" w:eastAsia="+mn-ea" w:hAnsi="Calibri" w:cs="+mn-cs"/>
                          <w:b/>
                          <w:bCs/>
                          <w:color w:val="465E9C" w:themeColor="text2"/>
                          <w:kern w:val="24"/>
                          <w:sz w:val="32"/>
                          <w:szCs w:val="32"/>
                          <w:lang w:eastAsia="en-AU"/>
                        </w:rPr>
                      </w:pPr>
                      <w:r w:rsidRPr="00E065B7">
                        <w:rPr>
                          <w:rFonts w:ascii="Calibri" w:eastAsia="+mn-ea" w:hAnsi="Calibri" w:cs="+mn-cs"/>
                          <w:b/>
                          <w:bCs/>
                          <w:color w:val="465E9C" w:themeColor="text2"/>
                          <w:kern w:val="24"/>
                          <w:sz w:val="32"/>
                          <w:szCs w:val="32"/>
                          <w:lang w:eastAsia="en-AU"/>
                        </w:rPr>
                        <w:t>Change in enteric disease notifications (</w:t>
                      </w:r>
                      <w:proofErr w:type="gramStart"/>
                      <w:r w:rsidRPr="00E065B7">
                        <w:rPr>
                          <w:rFonts w:ascii="Calibri" w:eastAsia="+mn-ea" w:hAnsi="Calibri" w:cs="+mn-cs"/>
                          <w:b/>
                          <w:bCs/>
                          <w:color w:val="465E9C" w:themeColor="text2"/>
                          <w:kern w:val="24"/>
                          <w:sz w:val="32"/>
                          <w:szCs w:val="32"/>
                          <w:lang w:eastAsia="en-AU"/>
                        </w:rPr>
                        <w:t>%)</w:t>
                      </w:r>
                      <w:r w:rsidR="0024249E" w:rsidRPr="00E065B7">
                        <w:rPr>
                          <w:rFonts w:ascii="Calibri" w:eastAsia="+mn-ea" w:hAnsi="Calibri" w:cs="+mn-cs"/>
                          <w:b/>
                          <w:bCs/>
                          <w:color w:val="465E9C" w:themeColor="text2"/>
                          <w:kern w:val="24"/>
                          <w:sz w:val="28"/>
                          <w:szCs w:val="32"/>
                          <w:lang w:eastAsia="en-AU"/>
                        </w:rPr>
                        <w:t>*</w:t>
                      </w:r>
                      <w:proofErr w:type="gramEnd"/>
                    </w:p>
                    <w:p w14:paraId="39A856B8" w14:textId="1FD47FBF" w:rsidR="00F16266" w:rsidRDefault="00E95736" w:rsidP="00E95736">
                      <w:pPr>
                        <w:jc w:val="center"/>
                      </w:pPr>
                      <w:r>
                        <w:rPr>
                          <w:noProof/>
                        </w:rPr>
                        <w:drawing>
                          <wp:inline distT="0" distB="0" distL="0" distR="0" wp14:anchorId="363594F5" wp14:editId="1E13B8A5">
                            <wp:extent cx="6047640" cy="36089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403" cy="3649400"/>
                                    </a:xfrm>
                                    <a:prstGeom prst="rect">
                                      <a:avLst/>
                                    </a:prstGeom>
                                    <a:noFill/>
                                  </pic:spPr>
                                </pic:pic>
                              </a:graphicData>
                            </a:graphic>
                          </wp:inline>
                        </w:drawing>
                      </w:r>
                    </w:p>
                  </w:txbxContent>
                </v:textbox>
              </v:shape>
            </w:pict>
          </mc:Fallback>
        </mc:AlternateContent>
      </w:r>
      <w:r w:rsidR="00F16266">
        <w:br w:type="page"/>
      </w:r>
    </w:p>
    <w:p w14:paraId="78278622" w14:textId="66E19EDA" w:rsidR="00F16266" w:rsidRPr="00C862D8" w:rsidRDefault="00875139" w:rsidP="009D1723">
      <w:pPr>
        <w:jc w:val="center"/>
        <w:rPr>
          <w:rFonts w:ascii="Calibri" w:eastAsia="+mn-ea" w:hAnsi="Calibri" w:cs="+mn-cs"/>
          <w:b/>
          <w:bCs/>
          <w:color w:val="465E9C" w:themeColor="text2"/>
          <w:kern w:val="24"/>
          <w:sz w:val="36"/>
          <w:szCs w:val="32"/>
          <w:lang w:eastAsia="en-AU"/>
        </w:rPr>
      </w:pPr>
      <w:r>
        <w:rPr>
          <w:noProof/>
        </w:rPr>
        <w:lastRenderedPageBreak/>
        <w:drawing>
          <wp:anchor distT="0" distB="0" distL="114300" distR="114300" simplePos="0" relativeHeight="251659264" behindDoc="0" locked="0" layoutInCell="1" allowOverlap="1" wp14:anchorId="708C2CB6" wp14:editId="7EF48537">
            <wp:simplePos x="0" y="0"/>
            <wp:positionH relativeFrom="column">
              <wp:posOffset>2886075</wp:posOffset>
            </wp:positionH>
            <wp:positionV relativeFrom="paragraph">
              <wp:posOffset>333375</wp:posOffset>
            </wp:positionV>
            <wp:extent cx="3294530" cy="1587699"/>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969" b="50754"/>
                    <a:stretch/>
                  </pic:blipFill>
                  <pic:spPr bwMode="auto">
                    <a:xfrm>
                      <a:off x="0" y="0"/>
                      <a:ext cx="3294530" cy="1587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E48">
        <w:rPr>
          <w:noProof/>
        </w:rPr>
        <w:drawing>
          <wp:anchor distT="0" distB="0" distL="114300" distR="114300" simplePos="0" relativeHeight="251657216" behindDoc="0" locked="0" layoutInCell="1" allowOverlap="1" wp14:anchorId="27A61E2D" wp14:editId="79D80FCF">
            <wp:simplePos x="0" y="0"/>
            <wp:positionH relativeFrom="column">
              <wp:posOffset>-542925</wp:posOffset>
            </wp:positionH>
            <wp:positionV relativeFrom="paragraph">
              <wp:posOffset>314960</wp:posOffset>
            </wp:positionV>
            <wp:extent cx="3343275" cy="1594593"/>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0835" b="70087"/>
                    <a:stretch/>
                  </pic:blipFill>
                  <pic:spPr bwMode="auto">
                    <a:xfrm>
                      <a:off x="0" y="0"/>
                      <a:ext cx="3343275" cy="1594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9C2" w:rsidRPr="00C862D8">
        <w:rPr>
          <w:rFonts w:ascii="Calibri" w:eastAsia="+mn-ea" w:hAnsi="Calibri" w:cs="+mn-cs"/>
          <w:b/>
          <w:bCs/>
          <w:color w:val="465E9C" w:themeColor="text2"/>
          <w:kern w:val="24"/>
          <w:sz w:val="36"/>
          <w:szCs w:val="32"/>
          <w:lang w:eastAsia="en-AU"/>
        </w:rPr>
        <w:t xml:space="preserve">Outbreaks in Quarter </w:t>
      </w:r>
      <w:r w:rsidR="00BF4F31">
        <w:rPr>
          <w:rFonts w:ascii="Calibri" w:eastAsia="+mn-ea" w:hAnsi="Calibri" w:cs="+mn-cs"/>
          <w:b/>
          <w:bCs/>
          <w:color w:val="465E9C" w:themeColor="text2"/>
          <w:kern w:val="24"/>
          <w:sz w:val="36"/>
          <w:szCs w:val="32"/>
          <w:lang w:eastAsia="en-AU"/>
        </w:rPr>
        <w:t>1</w:t>
      </w:r>
      <w:r w:rsidR="008449C2" w:rsidRPr="00C862D8">
        <w:rPr>
          <w:rFonts w:ascii="Calibri" w:eastAsia="+mn-ea" w:hAnsi="Calibri" w:cs="+mn-cs"/>
          <w:b/>
          <w:bCs/>
          <w:color w:val="465E9C" w:themeColor="text2"/>
          <w:kern w:val="24"/>
          <w:sz w:val="36"/>
          <w:szCs w:val="32"/>
          <w:lang w:eastAsia="en-AU"/>
        </w:rPr>
        <w:t xml:space="preserve"> 20</w:t>
      </w:r>
      <w:r w:rsidR="00BF4F31">
        <w:rPr>
          <w:rFonts w:ascii="Calibri" w:eastAsia="+mn-ea" w:hAnsi="Calibri" w:cs="+mn-cs"/>
          <w:b/>
          <w:bCs/>
          <w:color w:val="465E9C" w:themeColor="text2"/>
          <w:kern w:val="24"/>
          <w:sz w:val="36"/>
          <w:szCs w:val="32"/>
          <w:lang w:eastAsia="en-AU"/>
        </w:rPr>
        <w:t>20</w:t>
      </w:r>
    </w:p>
    <w:p w14:paraId="1F51BE9D" w14:textId="2575C8B7" w:rsidR="00F16266" w:rsidRPr="00F16266" w:rsidRDefault="00F16266" w:rsidP="00F16266"/>
    <w:p w14:paraId="0698DCE1" w14:textId="0B33EA6C" w:rsidR="00875139" w:rsidRDefault="00875139" w:rsidP="00F16266">
      <w:pPr>
        <w:rPr>
          <w:noProof/>
        </w:rPr>
      </w:pPr>
    </w:p>
    <w:p w14:paraId="1E0A550B" w14:textId="7E42E1E9" w:rsidR="00F16266" w:rsidRPr="00F16266" w:rsidRDefault="00F16266" w:rsidP="00F16266"/>
    <w:p w14:paraId="0D6D4FD4" w14:textId="6AEEE015" w:rsidR="00F16266" w:rsidRPr="00F16266" w:rsidRDefault="00F16266" w:rsidP="00F16266"/>
    <w:p w14:paraId="359C40C6" w14:textId="53977897" w:rsidR="00F16266" w:rsidRPr="00F16266" w:rsidRDefault="00F16266" w:rsidP="00F16266"/>
    <w:p w14:paraId="78AE31C0" w14:textId="6A4F79E4" w:rsidR="00F16266" w:rsidRPr="00F16266" w:rsidRDefault="00507189" w:rsidP="00F16266">
      <w:r>
        <w:rPr>
          <w:noProof/>
        </w:rPr>
        <w:drawing>
          <wp:anchor distT="0" distB="0" distL="114300" distR="114300" simplePos="0" relativeHeight="251651584" behindDoc="0" locked="0" layoutInCell="1" allowOverlap="1" wp14:anchorId="5A025026" wp14:editId="5834334D">
            <wp:simplePos x="0" y="0"/>
            <wp:positionH relativeFrom="column">
              <wp:posOffset>818515</wp:posOffset>
            </wp:positionH>
            <wp:positionV relativeFrom="paragraph">
              <wp:posOffset>197485</wp:posOffset>
            </wp:positionV>
            <wp:extent cx="4093845" cy="1734872"/>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49191" b="33857"/>
                    <a:stretch/>
                  </pic:blipFill>
                  <pic:spPr bwMode="auto">
                    <a:xfrm>
                      <a:off x="0" y="0"/>
                      <a:ext cx="4093845" cy="1734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77EA5" w14:textId="5B9A1138" w:rsidR="00F16266" w:rsidRPr="00F16266" w:rsidRDefault="00F16266" w:rsidP="00F16266"/>
    <w:p w14:paraId="13826F5D" w14:textId="29ED9ACA" w:rsidR="00F16266" w:rsidRPr="00F16266" w:rsidRDefault="00F16266" w:rsidP="00F16266"/>
    <w:p w14:paraId="0DF6FA16" w14:textId="57CCD316" w:rsidR="00F16266" w:rsidRPr="00F16266" w:rsidRDefault="00F16266" w:rsidP="00F16266"/>
    <w:p w14:paraId="0FC6FB4F" w14:textId="00CEA93F" w:rsidR="00507189" w:rsidRDefault="00507189" w:rsidP="009C4DFF">
      <w:pPr>
        <w:rPr>
          <w:noProof/>
        </w:rPr>
      </w:pPr>
      <w:bookmarkStart w:id="0" w:name="_GoBack"/>
      <w:bookmarkEnd w:id="0"/>
    </w:p>
    <w:p w14:paraId="5A1DBE81" w14:textId="43120268" w:rsidR="00507189" w:rsidRDefault="00507189" w:rsidP="009C4DFF">
      <w:pPr>
        <w:rPr>
          <w:noProof/>
        </w:rPr>
      </w:pPr>
    </w:p>
    <w:p w14:paraId="7CC83954" w14:textId="77777777" w:rsidR="007A4E48" w:rsidRDefault="007A4E48" w:rsidP="009C4DFF"/>
    <w:p w14:paraId="67F33837" w14:textId="77777777" w:rsidR="00F16266" w:rsidRPr="00F16266" w:rsidRDefault="00E842C2" w:rsidP="00F16266">
      <w:r>
        <w:rPr>
          <w:b/>
          <w:noProof/>
          <w:color w:val="FF0000"/>
          <w:lang w:eastAsia="en-AU"/>
        </w:rPr>
        <mc:AlternateContent>
          <mc:Choice Requires="wps">
            <w:drawing>
              <wp:anchor distT="0" distB="0" distL="114300" distR="114300" simplePos="0" relativeHeight="251650560" behindDoc="0" locked="0" layoutInCell="1" allowOverlap="1" wp14:anchorId="00E9CDAE" wp14:editId="24844F33">
                <wp:simplePos x="0" y="0"/>
                <wp:positionH relativeFrom="column">
                  <wp:posOffset>-476885</wp:posOffset>
                </wp:positionH>
                <wp:positionV relativeFrom="paragraph">
                  <wp:posOffset>32797</wp:posOffset>
                </wp:positionV>
                <wp:extent cx="6708775" cy="5562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08775"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2C766" w14:textId="77777777" w:rsidR="00E842C2" w:rsidRDefault="00E842C2" w:rsidP="00E842C2">
                            <w:pPr>
                              <w:spacing w:after="0"/>
                              <w:rPr>
                                <w:rFonts w:ascii="Calibri" w:eastAsia="+mn-ea" w:hAnsi="Calibri" w:cs="+mn-cs"/>
                                <w:bCs/>
                                <w:color w:val="465E9C" w:themeColor="text2"/>
                                <w:kern w:val="24"/>
                                <w:sz w:val="22"/>
                                <w:szCs w:val="32"/>
                                <w:lang w:eastAsia="en-AU"/>
                              </w:rPr>
                            </w:pPr>
                            <w:r w:rsidRPr="00B70DAF">
                              <w:rPr>
                                <w:rFonts w:ascii="Calibri" w:eastAsia="+mn-ea" w:hAnsi="Calibri" w:cs="+mn-cs"/>
                                <w:b/>
                                <w:bCs/>
                                <w:color w:val="465E9C" w:themeColor="text2"/>
                                <w:kern w:val="24"/>
                                <w:sz w:val="22"/>
                                <w:szCs w:val="32"/>
                                <w:lang w:eastAsia="en-AU"/>
                              </w:rPr>
                              <w:t xml:space="preserve">Appendix </w:t>
                            </w:r>
                            <w:r w:rsidRPr="00A6066D">
                              <w:rPr>
                                <w:rFonts w:ascii="Calibri" w:eastAsia="+mn-ea" w:hAnsi="Calibri" w:cs="+mn-cs"/>
                                <w:b/>
                                <w:bCs/>
                                <w:color w:val="465E9C" w:themeColor="text2"/>
                                <w:kern w:val="24"/>
                                <w:sz w:val="22"/>
                                <w:szCs w:val="32"/>
                                <w:lang w:eastAsia="en-AU"/>
                              </w:rPr>
                              <w:t>2</w:t>
                            </w:r>
                            <w:r w:rsidRPr="00A6066D">
                              <w:rPr>
                                <w:rFonts w:ascii="Calibri" w:eastAsia="+mn-ea" w:hAnsi="Calibri" w:cs="+mn-cs"/>
                                <w:bCs/>
                                <w:color w:val="465E9C" w:themeColor="text2"/>
                                <w:kern w:val="24"/>
                                <w:sz w:val="22"/>
                                <w:szCs w:val="32"/>
                                <w:lang w:eastAsia="en-AU"/>
                              </w:rPr>
                              <w:t xml:space="preserve"> Details of foodborne outbreaks investigated in Quarter </w:t>
                            </w:r>
                            <w:r w:rsidR="00F51AF5">
                              <w:rPr>
                                <w:rFonts w:ascii="Calibri" w:eastAsia="+mn-ea" w:hAnsi="Calibri" w:cs="+mn-cs"/>
                                <w:bCs/>
                                <w:color w:val="465E9C" w:themeColor="text2"/>
                                <w:kern w:val="24"/>
                                <w:sz w:val="22"/>
                                <w:szCs w:val="32"/>
                                <w:lang w:eastAsia="en-AU"/>
                              </w:rPr>
                              <w:t>1</w:t>
                            </w:r>
                            <w:r w:rsidRPr="00A6066D">
                              <w:rPr>
                                <w:rFonts w:ascii="Calibri" w:eastAsia="+mn-ea" w:hAnsi="Calibri" w:cs="+mn-cs"/>
                                <w:bCs/>
                                <w:color w:val="465E9C" w:themeColor="text2"/>
                                <w:kern w:val="24"/>
                                <w:sz w:val="22"/>
                                <w:szCs w:val="32"/>
                                <w:lang w:eastAsia="en-AU"/>
                              </w:rPr>
                              <w:t>, 20</w:t>
                            </w:r>
                            <w:r w:rsidR="007B47D8">
                              <w:rPr>
                                <w:rFonts w:ascii="Calibri" w:eastAsia="+mn-ea" w:hAnsi="Calibri" w:cs="+mn-cs"/>
                                <w:bCs/>
                                <w:color w:val="465E9C" w:themeColor="text2"/>
                                <w:kern w:val="24"/>
                                <w:sz w:val="22"/>
                                <w:szCs w:val="32"/>
                                <w:lang w:eastAsia="en-AU"/>
                              </w:rPr>
                              <w:t>20</w:t>
                            </w:r>
                            <w:r w:rsidRPr="00A6066D">
                              <w:rPr>
                                <w:rFonts w:ascii="Calibri" w:eastAsia="+mn-ea" w:hAnsi="Calibri" w:cs="+mn-cs"/>
                                <w:bCs/>
                                <w:color w:val="465E9C" w:themeColor="text2"/>
                                <w:kern w:val="24"/>
                                <w:sz w:val="22"/>
                                <w:szCs w:val="32"/>
                                <w:lang w:eastAsia="en-AU"/>
                              </w:rPr>
                              <w:t>:</w:t>
                            </w:r>
                          </w:p>
                          <w:p w14:paraId="282EAF16" w14:textId="77777777" w:rsidR="00732A7B" w:rsidRPr="00732A7B" w:rsidRDefault="00A40760" w:rsidP="00732A7B">
                            <w:pPr>
                              <w:spacing w:after="0"/>
                              <w:rPr>
                                <w:rFonts w:ascii="Calibri" w:hAnsi="Calibri"/>
                                <w:color w:val="004B8D"/>
                                <w:sz w:val="18"/>
                                <w:u w:val="single"/>
                              </w:rPr>
                            </w:pPr>
                            <w:hyperlink r:id="rId17" w:history="1">
                              <w:r w:rsidR="00732A7B" w:rsidRPr="00732A7B">
                                <w:rPr>
                                  <w:rStyle w:val="Hyperlink"/>
                                  <w:rFonts w:ascii="Calibri" w:hAnsi="Calibri"/>
                                  <w:sz w:val="18"/>
                                </w:rPr>
                                <w:t>https://ww2.health.wa.gov.au/-/media/Corp/Documents/Health for/Infectious disease/</w:t>
                              </w:r>
                              <w:proofErr w:type="spellStart"/>
                              <w:r w:rsidR="00732A7B" w:rsidRPr="00732A7B">
                                <w:rPr>
                                  <w:rStyle w:val="Hyperlink"/>
                                  <w:rFonts w:ascii="Calibri" w:hAnsi="Calibri"/>
                                  <w:sz w:val="18"/>
                                </w:rPr>
                                <w:t>OZfoodnet</w:t>
                              </w:r>
                              <w:proofErr w:type="spellEnd"/>
                              <w:r w:rsidR="00732A7B" w:rsidRPr="00732A7B">
                                <w:rPr>
                                  <w:rStyle w:val="Hyperlink"/>
                                  <w:rFonts w:ascii="Calibri" w:hAnsi="Calibri"/>
                                  <w:sz w:val="18"/>
                                </w:rPr>
                                <w:t>/Word/WA-OzFoodnet-appendix2-2020-Q1.docx</w:t>
                              </w:r>
                            </w:hyperlink>
                          </w:p>
                          <w:p w14:paraId="51A965C4" w14:textId="77777777" w:rsidR="0066016D" w:rsidRPr="00BB48D3" w:rsidRDefault="0066016D" w:rsidP="00BB48D3">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CDAE" id="Text Box 23" o:spid="_x0000_s1033" type="#_x0000_t202" style="position:absolute;margin-left:-37.55pt;margin-top:2.6pt;width:528.25pt;height:4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" filled="f" stroked="f" strokeweight=".5pt">
                <v:textbox>
                  <w:txbxContent>
                    <w:p w14:paraId="2DC2C766" w14:textId="77777777" w:rsidR="00E842C2" w:rsidRDefault="00E842C2" w:rsidP="00E842C2">
                      <w:pPr>
                        <w:spacing w:after="0"/>
                        <w:rPr>
                          <w:rFonts w:ascii="Calibri" w:eastAsia="+mn-ea" w:hAnsi="Calibri" w:cs="+mn-cs"/>
                          <w:bCs/>
                          <w:color w:val="465E9C" w:themeColor="text2"/>
                          <w:kern w:val="24"/>
                          <w:sz w:val="22"/>
                          <w:szCs w:val="32"/>
                          <w:lang w:eastAsia="en-AU"/>
                        </w:rPr>
                      </w:pPr>
                      <w:r w:rsidRPr="00B70DAF">
                        <w:rPr>
                          <w:rFonts w:ascii="Calibri" w:eastAsia="+mn-ea" w:hAnsi="Calibri" w:cs="+mn-cs"/>
                          <w:b/>
                          <w:bCs/>
                          <w:color w:val="465E9C" w:themeColor="text2"/>
                          <w:kern w:val="24"/>
                          <w:sz w:val="22"/>
                          <w:szCs w:val="32"/>
                          <w:lang w:eastAsia="en-AU"/>
                        </w:rPr>
                        <w:t xml:space="preserve">Appendix </w:t>
                      </w:r>
                      <w:r w:rsidRPr="00A6066D">
                        <w:rPr>
                          <w:rFonts w:ascii="Calibri" w:eastAsia="+mn-ea" w:hAnsi="Calibri" w:cs="+mn-cs"/>
                          <w:b/>
                          <w:bCs/>
                          <w:color w:val="465E9C" w:themeColor="text2"/>
                          <w:kern w:val="24"/>
                          <w:sz w:val="22"/>
                          <w:szCs w:val="32"/>
                          <w:lang w:eastAsia="en-AU"/>
                        </w:rPr>
                        <w:t>2</w:t>
                      </w:r>
                      <w:r w:rsidRPr="00A6066D">
                        <w:rPr>
                          <w:rFonts w:ascii="Calibri" w:eastAsia="+mn-ea" w:hAnsi="Calibri" w:cs="+mn-cs"/>
                          <w:bCs/>
                          <w:color w:val="465E9C" w:themeColor="text2"/>
                          <w:kern w:val="24"/>
                          <w:sz w:val="22"/>
                          <w:szCs w:val="32"/>
                          <w:lang w:eastAsia="en-AU"/>
                        </w:rPr>
                        <w:t xml:space="preserve"> Details of foodborne outbreaks investigated in Quarter </w:t>
                      </w:r>
                      <w:r w:rsidR="00F51AF5">
                        <w:rPr>
                          <w:rFonts w:ascii="Calibri" w:eastAsia="+mn-ea" w:hAnsi="Calibri" w:cs="+mn-cs"/>
                          <w:bCs/>
                          <w:color w:val="465E9C" w:themeColor="text2"/>
                          <w:kern w:val="24"/>
                          <w:sz w:val="22"/>
                          <w:szCs w:val="32"/>
                          <w:lang w:eastAsia="en-AU"/>
                        </w:rPr>
                        <w:t>1</w:t>
                      </w:r>
                      <w:r w:rsidRPr="00A6066D">
                        <w:rPr>
                          <w:rFonts w:ascii="Calibri" w:eastAsia="+mn-ea" w:hAnsi="Calibri" w:cs="+mn-cs"/>
                          <w:bCs/>
                          <w:color w:val="465E9C" w:themeColor="text2"/>
                          <w:kern w:val="24"/>
                          <w:sz w:val="22"/>
                          <w:szCs w:val="32"/>
                          <w:lang w:eastAsia="en-AU"/>
                        </w:rPr>
                        <w:t>, 20</w:t>
                      </w:r>
                      <w:r w:rsidR="007B47D8">
                        <w:rPr>
                          <w:rFonts w:ascii="Calibri" w:eastAsia="+mn-ea" w:hAnsi="Calibri" w:cs="+mn-cs"/>
                          <w:bCs/>
                          <w:color w:val="465E9C" w:themeColor="text2"/>
                          <w:kern w:val="24"/>
                          <w:sz w:val="22"/>
                          <w:szCs w:val="32"/>
                          <w:lang w:eastAsia="en-AU"/>
                        </w:rPr>
                        <w:t>20</w:t>
                      </w:r>
                      <w:r w:rsidRPr="00A6066D">
                        <w:rPr>
                          <w:rFonts w:ascii="Calibri" w:eastAsia="+mn-ea" w:hAnsi="Calibri" w:cs="+mn-cs"/>
                          <w:bCs/>
                          <w:color w:val="465E9C" w:themeColor="text2"/>
                          <w:kern w:val="24"/>
                          <w:sz w:val="22"/>
                          <w:szCs w:val="32"/>
                          <w:lang w:eastAsia="en-AU"/>
                        </w:rPr>
                        <w:t>:</w:t>
                      </w:r>
                    </w:p>
                    <w:p w14:paraId="282EAF16" w14:textId="77777777" w:rsidR="00732A7B" w:rsidRPr="00732A7B" w:rsidRDefault="00A40760" w:rsidP="00732A7B">
                      <w:pPr>
                        <w:spacing w:after="0"/>
                        <w:rPr>
                          <w:rFonts w:ascii="Calibri" w:hAnsi="Calibri"/>
                          <w:color w:val="004B8D"/>
                          <w:sz w:val="18"/>
                          <w:u w:val="single"/>
                        </w:rPr>
                      </w:pPr>
                      <w:hyperlink r:id="rId18" w:history="1">
                        <w:r w:rsidR="00732A7B" w:rsidRPr="00732A7B">
                          <w:rPr>
                            <w:rStyle w:val="Hyperlink"/>
                            <w:rFonts w:ascii="Calibri" w:hAnsi="Calibri"/>
                            <w:sz w:val="18"/>
                          </w:rPr>
                          <w:t>https://ww2.health.wa.gov.au/-/media/Corp/Documents/Health for/Infectious disease/</w:t>
                        </w:r>
                        <w:proofErr w:type="spellStart"/>
                        <w:r w:rsidR="00732A7B" w:rsidRPr="00732A7B">
                          <w:rPr>
                            <w:rStyle w:val="Hyperlink"/>
                            <w:rFonts w:ascii="Calibri" w:hAnsi="Calibri"/>
                            <w:sz w:val="18"/>
                          </w:rPr>
                          <w:t>OZfoodnet</w:t>
                        </w:r>
                        <w:proofErr w:type="spellEnd"/>
                        <w:r w:rsidR="00732A7B" w:rsidRPr="00732A7B">
                          <w:rPr>
                            <w:rStyle w:val="Hyperlink"/>
                            <w:rFonts w:ascii="Calibri" w:hAnsi="Calibri"/>
                            <w:sz w:val="18"/>
                          </w:rPr>
                          <w:t>/Word/WA-OzFoodnet-appendix2-2020-Q1.docx</w:t>
                        </w:r>
                      </w:hyperlink>
                    </w:p>
                    <w:p w14:paraId="51A965C4" w14:textId="77777777" w:rsidR="0066016D" w:rsidRPr="00BB48D3" w:rsidRDefault="0066016D" w:rsidP="00BB48D3">
                      <w:pPr>
                        <w:spacing w:after="0"/>
                        <w:rPr>
                          <w:sz w:val="20"/>
                          <w:szCs w:val="20"/>
                        </w:rPr>
                      </w:pPr>
                    </w:p>
                  </w:txbxContent>
                </v:textbox>
              </v:shape>
            </w:pict>
          </mc:Fallback>
        </mc:AlternateContent>
      </w:r>
    </w:p>
    <w:p w14:paraId="78C07942" w14:textId="77777777" w:rsidR="00F16266" w:rsidRPr="00F16266" w:rsidRDefault="00F16266" w:rsidP="00F16266"/>
    <w:p w14:paraId="0AF8CCAB" w14:textId="77777777" w:rsidR="00F16266" w:rsidRPr="00F16266" w:rsidRDefault="00F16266" w:rsidP="00F16266"/>
    <w:p w14:paraId="05D080FC" w14:textId="77777777" w:rsidR="00F16266" w:rsidRDefault="00BB48D3" w:rsidP="00F16266">
      <w:r>
        <w:rPr>
          <w:noProof/>
          <w:lang w:eastAsia="en-AU"/>
        </w:rPr>
        <mc:AlternateContent>
          <mc:Choice Requires="wps">
            <w:drawing>
              <wp:anchor distT="0" distB="0" distL="114300" distR="114300" simplePos="0" relativeHeight="251655680" behindDoc="0" locked="0" layoutInCell="1" allowOverlap="1" wp14:anchorId="65996EBB" wp14:editId="4A39EBF3">
                <wp:simplePos x="0" y="0"/>
                <wp:positionH relativeFrom="column">
                  <wp:posOffset>-477520</wp:posOffset>
                </wp:positionH>
                <wp:positionV relativeFrom="paragraph">
                  <wp:posOffset>32385</wp:posOffset>
                </wp:positionV>
                <wp:extent cx="6708775" cy="4826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4826000"/>
                        </a:xfrm>
                        <a:prstGeom prst="rect">
                          <a:avLst/>
                        </a:prstGeom>
                        <a:solidFill>
                          <a:schemeClr val="tx2">
                            <a:lumMod val="20000"/>
                            <a:lumOff val="80000"/>
                            <a:alpha val="50000"/>
                          </a:schemeClr>
                        </a:solidFill>
                        <a:ln w="9525">
                          <a:noFill/>
                          <a:miter lim="800000"/>
                          <a:headEnd/>
                          <a:tailEnd/>
                        </a:ln>
                      </wps:spPr>
                      <wps:txbx>
                        <w:txbxContent>
                          <w:p w14:paraId="453BC760" w14:textId="77777777" w:rsidR="00447A73" w:rsidRPr="00600F2C" w:rsidRDefault="00F16266" w:rsidP="0012565F">
                            <w:pPr>
                              <w:spacing w:after="0"/>
                              <w:jc w:val="center"/>
                              <w:rPr>
                                <w:rFonts w:ascii="Calibri" w:eastAsia="+mn-ea" w:hAnsi="Calibri" w:cs="+mn-cs"/>
                                <w:b/>
                                <w:bCs/>
                                <w:color w:val="465E9C" w:themeColor="text2"/>
                                <w:kern w:val="24"/>
                                <w:sz w:val="32"/>
                                <w:szCs w:val="32"/>
                                <w:lang w:eastAsia="en-AU"/>
                              </w:rPr>
                            </w:pPr>
                            <w:r w:rsidRPr="00600F2C">
                              <w:rPr>
                                <w:rFonts w:ascii="Calibri" w:eastAsia="+mn-ea" w:hAnsi="Calibri" w:cs="+mn-cs"/>
                                <w:b/>
                                <w:bCs/>
                                <w:color w:val="465E9C" w:themeColor="text2"/>
                                <w:kern w:val="24"/>
                                <w:sz w:val="32"/>
                                <w:szCs w:val="32"/>
                                <w:lang w:eastAsia="en-AU"/>
                              </w:rPr>
                              <w:t xml:space="preserve">Key trends from Quarter </w:t>
                            </w:r>
                            <w:r w:rsidR="00BF4F31">
                              <w:rPr>
                                <w:rFonts w:ascii="Calibri" w:eastAsia="+mn-ea" w:hAnsi="Calibri" w:cs="+mn-cs"/>
                                <w:b/>
                                <w:bCs/>
                                <w:color w:val="465E9C" w:themeColor="text2"/>
                                <w:kern w:val="24"/>
                                <w:sz w:val="32"/>
                                <w:szCs w:val="32"/>
                                <w:lang w:eastAsia="en-AU"/>
                              </w:rPr>
                              <w:t>1</w:t>
                            </w:r>
                            <w:r w:rsidRPr="00600F2C">
                              <w:rPr>
                                <w:rFonts w:ascii="Calibri" w:eastAsia="+mn-ea" w:hAnsi="Calibri" w:cs="+mn-cs"/>
                                <w:b/>
                                <w:bCs/>
                                <w:color w:val="465E9C" w:themeColor="text2"/>
                                <w:kern w:val="24"/>
                                <w:sz w:val="32"/>
                                <w:szCs w:val="32"/>
                                <w:lang w:eastAsia="en-AU"/>
                              </w:rPr>
                              <w:t xml:space="preserve"> 20</w:t>
                            </w:r>
                            <w:r w:rsidR="00BF4F31">
                              <w:rPr>
                                <w:rFonts w:ascii="Calibri" w:eastAsia="+mn-ea" w:hAnsi="Calibri" w:cs="+mn-cs"/>
                                <w:b/>
                                <w:bCs/>
                                <w:color w:val="465E9C" w:themeColor="text2"/>
                                <w:kern w:val="24"/>
                                <w:sz w:val="32"/>
                                <w:szCs w:val="32"/>
                                <w:lang w:eastAsia="en-AU"/>
                              </w:rPr>
                              <w:t>20</w:t>
                            </w:r>
                          </w:p>
                          <w:p w14:paraId="215C961A" w14:textId="77777777" w:rsidR="00D050EF" w:rsidRPr="00931BD5" w:rsidRDefault="00D050EF" w:rsidP="0012565F">
                            <w:pPr>
                              <w:spacing w:after="0"/>
                              <w:jc w:val="center"/>
                              <w:rPr>
                                <w:rFonts w:ascii="Times New Roman" w:eastAsia="Times New Roman" w:hAnsi="Times New Roman" w:cs="Times New Roman"/>
                                <w:color w:val="000000" w:themeColor="text1"/>
                                <w:sz w:val="32"/>
                                <w:szCs w:val="32"/>
                                <w:lang w:eastAsia="en-AU"/>
                              </w:rPr>
                            </w:pPr>
                          </w:p>
                          <w:p w14:paraId="77F73052" w14:textId="77777777" w:rsidR="00BB48D3" w:rsidRPr="00931BD5" w:rsidRDefault="00BB48D3" w:rsidP="00BB48D3">
                            <w:pPr>
                              <w:rPr>
                                <w:rFonts w:eastAsia="Calibri" w:cs="Times New Roman"/>
                                <w:b/>
                                <w:color w:val="465E9C"/>
                                <w:sz w:val="20"/>
                                <w:szCs w:val="20"/>
                              </w:rPr>
                            </w:pPr>
                            <w:r w:rsidRPr="00931BD5">
                              <w:rPr>
                                <w:rFonts w:eastAsia="Calibri" w:cs="Times New Roman"/>
                                <w:b/>
                                <w:i/>
                                <w:color w:val="465E9C"/>
                                <w:sz w:val="20"/>
                                <w:szCs w:val="20"/>
                              </w:rPr>
                              <w:t>Salmonella</w:t>
                            </w:r>
                            <w:r w:rsidRPr="00931BD5">
                              <w:rPr>
                                <w:rFonts w:eastAsia="Calibri" w:cs="Times New Roman"/>
                                <w:b/>
                                <w:color w:val="465E9C"/>
                                <w:sz w:val="20"/>
                                <w:szCs w:val="20"/>
                              </w:rPr>
                              <w:t xml:space="preserve"> Typhimurium (STM) MLVA</w:t>
                            </w:r>
                            <w:r w:rsidRPr="00C862D8">
                              <w:rPr>
                                <w:rFonts w:eastAsia="Calibri" w:cs="Times New Roman"/>
                                <w:b/>
                                <w:color w:val="FF0000"/>
                                <w:sz w:val="20"/>
                                <w:szCs w:val="20"/>
                              </w:rPr>
                              <w:t xml:space="preserve"> </w:t>
                            </w:r>
                            <w:r w:rsidRPr="00600F2C">
                              <w:rPr>
                                <w:rFonts w:eastAsia="Calibri" w:cs="Times New Roman"/>
                                <w:b/>
                                <w:color w:val="465E9C" w:themeColor="text2"/>
                                <w:sz w:val="20"/>
                                <w:szCs w:val="20"/>
                              </w:rPr>
                              <w:t xml:space="preserve">03-17-09-12-523 </w:t>
                            </w:r>
                          </w:p>
                          <w:p w14:paraId="6105A190" w14:textId="28DD9EEF" w:rsidR="00BB48D3" w:rsidRPr="00627EBE" w:rsidRDefault="00BB48D3" w:rsidP="00BB48D3">
                            <w:pPr>
                              <w:rPr>
                                <w:rFonts w:eastAsia="Calibri" w:cs="Times New Roman"/>
                                <w:b/>
                                <w:color w:val="FF0000"/>
                                <w:sz w:val="20"/>
                                <w:szCs w:val="20"/>
                              </w:rPr>
                            </w:pPr>
                            <w:r w:rsidRPr="00995323">
                              <w:rPr>
                                <w:rFonts w:eastAsia="Calibri" w:cs="Times New Roman"/>
                                <w:sz w:val="20"/>
                                <w:szCs w:val="20"/>
                              </w:rPr>
                              <w:t>STM MLVA 03-17-09-12-523 has been under investigation since the type emerged in September 2016. From September 20</w:t>
                            </w:r>
                            <w:r w:rsidR="00931BD5" w:rsidRPr="00995323">
                              <w:rPr>
                                <w:rFonts w:eastAsia="Calibri" w:cs="Times New Roman"/>
                                <w:sz w:val="20"/>
                                <w:szCs w:val="20"/>
                              </w:rPr>
                              <w:t xml:space="preserve">16 to </w:t>
                            </w:r>
                            <w:r w:rsidR="00F51AF5">
                              <w:rPr>
                                <w:rFonts w:eastAsia="Calibri" w:cs="Times New Roman"/>
                                <w:sz w:val="20"/>
                                <w:szCs w:val="20"/>
                              </w:rPr>
                              <w:t>March</w:t>
                            </w:r>
                            <w:r w:rsidR="00931BD5" w:rsidRPr="00995323">
                              <w:rPr>
                                <w:rFonts w:eastAsia="Calibri" w:cs="Times New Roman"/>
                                <w:sz w:val="20"/>
                                <w:szCs w:val="20"/>
                              </w:rPr>
                              <w:t xml:space="preserve"> 20</w:t>
                            </w:r>
                            <w:r w:rsidR="00F51AF5">
                              <w:rPr>
                                <w:rFonts w:eastAsia="Calibri" w:cs="Times New Roman"/>
                                <w:sz w:val="20"/>
                                <w:szCs w:val="20"/>
                              </w:rPr>
                              <w:t>20</w:t>
                            </w:r>
                            <w:r w:rsidR="00931BD5" w:rsidRPr="00995323">
                              <w:rPr>
                                <w:rFonts w:eastAsia="Calibri" w:cs="Times New Roman"/>
                                <w:sz w:val="20"/>
                                <w:szCs w:val="20"/>
                              </w:rPr>
                              <w:t xml:space="preserve"> there </w:t>
                            </w:r>
                            <w:r w:rsidR="00995323" w:rsidRPr="00995323">
                              <w:rPr>
                                <w:rFonts w:eastAsia="Calibri" w:cs="Times New Roman"/>
                                <w:sz w:val="20"/>
                                <w:szCs w:val="20"/>
                              </w:rPr>
                              <w:t>were 1</w:t>
                            </w:r>
                            <w:r w:rsidR="00171EAF">
                              <w:rPr>
                                <w:rFonts w:eastAsia="Calibri" w:cs="Times New Roman"/>
                                <w:sz w:val="20"/>
                                <w:szCs w:val="20"/>
                              </w:rPr>
                              <w:t>582</w:t>
                            </w:r>
                            <w:r w:rsidRPr="00995323">
                              <w:rPr>
                                <w:rFonts w:eastAsia="Calibri" w:cs="Times New Roman"/>
                                <w:sz w:val="20"/>
                                <w:szCs w:val="20"/>
                              </w:rPr>
                              <w:t xml:space="preserve"> cases notified</w:t>
                            </w:r>
                            <w:r w:rsidR="00931BD5" w:rsidRPr="00995323">
                              <w:rPr>
                                <w:rFonts w:eastAsia="Calibri" w:cs="Times New Roman"/>
                                <w:sz w:val="20"/>
                                <w:szCs w:val="20"/>
                              </w:rPr>
                              <w:t xml:space="preserve">, including </w:t>
                            </w:r>
                            <w:r w:rsidR="00171EAF">
                              <w:rPr>
                                <w:rFonts w:eastAsia="Calibri" w:cs="Times New Roman"/>
                                <w:sz w:val="20"/>
                                <w:szCs w:val="20"/>
                              </w:rPr>
                              <w:t>108</w:t>
                            </w:r>
                            <w:r w:rsidR="00995323" w:rsidRPr="00995323">
                              <w:rPr>
                                <w:rFonts w:eastAsia="Calibri" w:cs="Times New Roman"/>
                                <w:sz w:val="20"/>
                                <w:szCs w:val="20"/>
                              </w:rPr>
                              <w:t xml:space="preserve"> cases in </w:t>
                            </w:r>
                            <w:r w:rsidR="00171EAF">
                              <w:rPr>
                                <w:rFonts w:eastAsia="Calibri" w:cs="Times New Roman"/>
                                <w:sz w:val="20"/>
                                <w:szCs w:val="20"/>
                              </w:rPr>
                              <w:t>1</w:t>
                            </w:r>
                            <w:r w:rsidRPr="00995323">
                              <w:rPr>
                                <w:rFonts w:eastAsia="Calibri" w:cs="Times New Roman"/>
                                <w:sz w:val="20"/>
                                <w:szCs w:val="20"/>
                              </w:rPr>
                              <w:t>Q</w:t>
                            </w:r>
                            <w:r w:rsidR="00171EAF">
                              <w:rPr>
                                <w:rFonts w:eastAsia="Calibri" w:cs="Times New Roman"/>
                                <w:sz w:val="20"/>
                                <w:szCs w:val="20"/>
                              </w:rPr>
                              <w:t>20</w:t>
                            </w:r>
                            <w:r w:rsidRPr="00995323">
                              <w:rPr>
                                <w:rFonts w:eastAsia="Calibri" w:cs="Times New Roman"/>
                                <w:sz w:val="20"/>
                                <w:szCs w:val="20"/>
                              </w:rPr>
                              <w:t>. This MLVA type was the single mos</w:t>
                            </w:r>
                            <w:r w:rsidR="00600F2C">
                              <w:rPr>
                                <w:rFonts w:eastAsia="Calibri" w:cs="Times New Roman"/>
                                <w:sz w:val="20"/>
                                <w:szCs w:val="20"/>
                              </w:rPr>
                              <w:t xml:space="preserve">t common MLVA type notified in </w:t>
                            </w:r>
                            <w:r w:rsidR="006441F7">
                              <w:rPr>
                                <w:rFonts w:eastAsia="Calibri" w:cs="Times New Roman"/>
                                <w:sz w:val="20"/>
                                <w:szCs w:val="20"/>
                              </w:rPr>
                              <w:t>1</w:t>
                            </w:r>
                            <w:r w:rsidRPr="00995323">
                              <w:rPr>
                                <w:rFonts w:eastAsia="Calibri" w:cs="Times New Roman"/>
                                <w:sz w:val="20"/>
                                <w:szCs w:val="20"/>
                              </w:rPr>
                              <w:t>Q</w:t>
                            </w:r>
                            <w:r w:rsidR="006441F7">
                              <w:rPr>
                                <w:rFonts w:eastAsia="Calibri" w:cs="Times New Roman"/>
                                <w:sz w:val="20"/>
                                <w:szCs w:val="20"/>
                              </w:rPr>
                              <w:t>20</w:t>
                            </w:r>
                            <w:r w:rsidRPr="00995323">
                              <w:rPr>
                                <w:rFonts w:eastAsia="Calibri" w:cs="Times New Roman"/>
                                <w:sz w:val="20"/>
                                <w:szCs w:val="20"/>
                              </w:rPr>
                              <w:t xml:space="preserve">, constituting </w:t>
                            </w:r>
                            <w:r w:rsidR="006441F7">
                              <w:rPr>
                                <w:rFonts w:eastAsia="Calibri" w:cs="Times New Roman"/>
                                <w:sz w:val="20"/>
                                <w:szCs w:val="20"/>
                              </w:rPr>
                              <w:t>34</w:t>
                            </w:r>
                            <w:r w:rsidRPr="00995323">
                              <w:rPr>
                                <w:rFonts w:eastAsia="Calibri" w:cs="Arial"/>
                                <w:sz w:val="20"/>
                                <w:szCs w:val="20"/>
                              </w:rPr>
                              <w:t>%</w:t>
                            </w:r>
                            <w:r w:rsidRPr="00995323">
                              <w:rPr>
                                <w:rFonts w:eastAsia="Calibri" w:cs="Times New Roman"/>
                                <w:sz w:val="20"/>
                                <w:szCs w:val="20"/>
                              </w:rPr>
                              <w:t xml:space="preserve"> of STM notifications for the quarter. </w:t>
                            </w:r>
                            <w:r w:rsidR="006441F7">
                              <w:rPr>
                                <w:rFonts w:eastAsia="Calibri" w:cs="Times New Roman"/>
                                <w:sz w:val="20"/>
                                <w:szCs w:val="20"/>
                              </w:rPr>
                              <w:t xml:space="preserve">Of the 108 cases, 22 (20%) were part of </w:t>
                            </w:r>
                            <w:proofErr w:type="gramStart"/>
                            <w:r w:rsidR="006441F7">
                              <w:rPr>
                                <w:rFonts w:eastAsia="Calibri" w:cs="Times New Roman"/>
                                <w:sz w:val="20"/>
                                <w:szCs w:val="20"/>
                              </w:rPr>
                              <w:t>three</w:t>
                            </w:r>
                            <w:r w:rsidR="00600F2C">
                              <w:rPr>
                                <w:rFonts w:eastAsia="Calibri" w:cs="Times New Roman"/>
                                <w:sz w:val="20"/>
                                <w:szCs w:val="20"/>
                              </w:rPr>
                              <w:t xml:space="preserve"> point</w:t>
                            </w:r>
                            <w:proofErr w:type="gramEnd"/>
                            <w:r w:rsidR="00600F2C">
                              <w:rPr>
                                <w:rFonts w:eastAsia="Calibri" w:cs="Times New Roman"/>
                                <w:sz w:val="20"/>
                                <w:szCs w:val="20"/>
                              </w:rPr>
                              <w:t xml:space="preserve"> source outbreaks identified in </w:t>
                            </w:r>
                            <w:r w:rsidR="006441F7" w:rsidRPr="00641DA6">
                              <w:rPr>
                                <w:rFonts w:eastAsia="Calibri" w:cs="Times New Roman"/>
                                <w:sz w:val="20"/>
                                <w:szCs w:val="20"/>
                              </w:rPr>
                              <w:t>1</w:t>
                            </w:r>
                            <w:r w:rsidR="00600F2C" w:rsidRPr="00641DA6">
                              <w:rPr>
                                <w:rFonts w:eastAsia="Calibri" w:cs="Times New Roman"/>
                                <w:sz w:val="20"/>
                                <w:szCs w:val="20"/>
                              </w:rPr>
                              <w:t>Q</w:t>
                            </w:r>
                            <w:r w:rsidR="006441F7" w:rsidRPr="00641DA6">
                              <w:rPr>
                                <w:rFonts w:eastAsia="Calibri" w:cs="Times New Roman"/>
                                <w:sz w:val="20"/>
                                <w:szCs w:val="20"/>
                              </w:rPr>
                              <w:t>20</w:t>
                            </w:r>
                            <w:r w:rsidR="00600F2C" w:rsidRPr="00641DA6">
                              <w:rPr>
                                <w:rFonts w:eastAsia="Calibri" w:cs="Times New Roman"/>
                                <w:sz w:val="20"/>
                                <w:szCs w:val="20"/>
                              </w:rPr>
                              <w:t xml:space="preserve">. </w:t>
                            </w:r>
                            <w:r w:rsidR="002848B3" w:rsidRPr="00641DA6">
                              <w:rPr>
                                <w:rFonts w:eastAsia="Calibri" w:cs="Times New Roman"/>
                                <w:sz w:val="20"/>
                                <w:szCs w:val="20"/>
                              </w:rPr>
                              <w:t xml:space="preserve">A </w:t>
                            </w:r>
                            <w:r w:rsidR="00DE7A17" w:rsidRPr="00641DA6">
                              <w:rPr>
                                <w:rFonts w:eastAsia="Calibri" w:cs="Times New Roman"/>
                                <w:sz w:val="20"/>
                                <w:szCs w:val="20"/>
                              </w:rPr>
                              <w:t>beef lasagne</w:t>
                            </w:r>
                            <w:r w:rsidR="002848B3" w:rsidRPr="00641DA6">
                              <w:rPr>
                                <w:rFonts w:eastAsia="Calibri" w:cs="Times New Roman"/>
                                <w:sz w:val="20"/>
                                <w:szCs w:val="20"/>
                              </w:rPr>
                              <w:t xml:space="preserve"> </w:t>
                            </w:r>
                            <w:r w:rsidR="00DE7A17" w:rsidRPr="00641DA6">
                              <w:rPr>
                                <w:rFonts w:eastAsia="Calibri" w:cs="Times New Roman"/>
                                <w:sz w:val="20"/>
                                <w:szCs w:val="20"/>
                              </w:rPr>
                              <w:t>with undercooked pasta sheets</w:t>
                            </w:r>
                            <w:r w:rsidR="00240211">
                              <w:rPr>
                                <w:rFonts w:eastAsia="Calibri" w:cs="Times New Roman"/>
                                <w:sz w:val="20"/>
                                <w:szCs w:val="20"/>
                              </w:rPr>
                              <w:t xml:space="preserve"> containing raw eggs</w:t>
                            </w:r>
                            <w:r w:rsidR="00DE7A17" w:rsidRPr="00641DA6">
                              <w:rPr>
                                <w:rFonts w:eastAsia="Calibri" w:cs="Times New Roman"/>
                                <w:sz w:val="20"/>
                                <w:szCs w:val="20"/>
                              </w:rPr>
                              <w:t xml:space="preserve"> </w:t>
                            </w:r>
                            <w:r w:rsidR="002848B3" w:rsidRPr="00641DA6">
                              <w:rPr>
                                <w:rFonts w:eastAsia="Calibri" w:cs="Times New Roman"/>
                                <w:sz w:val="20"/>
                                <w:szCs w:val="20"/>
                              </w:rPr>
                              <w:t>was implicated in one outbreak</w:t>
                            </w:r>
                            <w:r w:rsidR="00DE7A17" w:rsidRPr="00641DA6">
                              <w:rPr>
                                <w:rFonts w:eastAsia="Calibri" w:cs="Times New Roman"/>
                                <w:sz w:val="20"/>
                                <w:szCs w:val="20"/>
                              </w:rPr>
                              <w:t xml:space="preserve">; </w:t>
                            </w:r>
                            <w:r w:rsidR="002848B3" w:rsidRPr="00641DA6">
                              <w:rPr>
                                <w:rFonts w:eastAsia="Calibri" w:cs="Times New Roman"/>
                                <w:sz w:val="20"/>
                                <w:szCs w:val="20"/>
                              </w:rPr>
                              <w:t xml:space="preserve">the </w:t>
                            </w:r>
                            <w:r w:rsidR="00641DA6" w:rsidRPr="00641DA6">
                              <w:rPr>
                                <w:rFonts w:eastAsia="Calibri" w:cs="Times New Roman"/>
                                <w:sz w:val="20"/>
                                <w:szCs w:val="20"/>
                              </w:rPr>
                              <w:t>vehicle was unknown in the other two 1Q20</w:t>
                            </w:r>
                            <w:r w:rsidR="00DE7A17" w:rsidRPr="00641DA6">
                              <w:rPr>
                                <w:rFonts w:eastAsia="Calibri" w:cs="Times New Roman"/>
                                <w:sz w:val="20"/>
                                <w:szCs w:val="20"/>
                              </w:rPr>
                              <w:t xml:space="preserve"> outbreaks of this MLVA type wh</w:t>
                            </w:r>
                            <w:r w:rsidR="00641DA6" w:rsidRPr="00641DA6">
                              <w:rPr>
                                <w:rFonts w:eastAsia="Calibri" w:cs="Times New Roman"/>
                                <w:sz w:val="20"/>
                                <w:szCs w:val="20"/>
                              </w:rPr>
                              <w:t xml:space="preserve">ich were at </w:t>
                            </w:r>
                            <w:r w:rsidR="00DE7A17" w:rsidRPr="00641DA6">
                              <w:rPr>
                                <w:rFonts w:eastAsia="Calibri" w:cs="Times New Roman"/>
                                <w:sz w:val="20"/>
                                <w:szCs w:val="20"/>
                              </w:rPr>
                              <w:t>aged care facilities</w:t>
                            </w:r>
                            <w:r w:rsidR="002848B3" w:rsidRPr="00641DA6">
                              <w:rPr>
                                <w:rFonts w:eastAsia="Calibri" w:cs="Times New Roman"/>
                                <w:sz w:val="20"/>
                                <w:szCs w:val="20"/>
                              </w:rPr>
                              <w:t xml:space="preserve">. Of the remaining </w:t>
                            </w:r>
                            <w:r w:rsidR="00DE7A17" w:rsidRPr="00641DA6">
                              <w:rPr>
                                <w:rFonts w:eastAsia="Calibri" w:cs="Times New Roman"/>
                                <w:sz w:val="20"/>
                                <w:szCs w:val="20"/>
                              </w:rPr>
                              <w:t>86</w:t>
                            </w:r>
                            <w:r w:rsidR="002848B3" w:rsidRPr="00641DA6">
                              <w:rPr>
                                <w:rFonts w:eastAsia="Calibri" w:cs="Times New Roman"/>
                                <w:sz w:val="20"/>
                                <w:szCs w:val="20"/>
                              </w:rPr>
                              <w:t xml:space="preserve"> cases, most (</w:t>
                            </w:r>
                            <w:r w:rsidR="00DE7A17" w:rsidRPr="00641DA6">
                              <w:rPr>
                                <w:rFonts w:eastAsia="Calibri" w:cs="Times New Roman"/>
                                <w:sz w:val="20"/>
                                <w:szCs w:val="20"/>
                              </w:rPr>
                              <w:t>91</w:t>
                            </w:r>
                            <w:r w:rsidR="002848B3" w:rsidRPr="00641DA6">
                              <w:rPr>
                                <w:rFonts w:eastAsia="Calibri" w:cs="Times New Roman"/>
                                <w:sz w:val="20"/>
                                <w:szCs w:val="20"/>
                              </w:rPr>
                              <w:t>%) resided in</w:t>
                            </w:r>
                            <w:r w:rsidR="002848B3" w:rsidRPr="002848B3">
                              <w:rPr>
                                <w:rFonts w:eastAsia="Calibri" w:cs="Times New Roman"/>
                                <w:sz w:val="20"/>
                                <w:szCs w:val="20"/>
                              </w:rPr>
                              <w:t xml:space="preserve"> the Perth metropolitan area. Hospitalisation data were confirmed for </w:t>
                            </w:r>
                            <w:r w:rsidR="00DE7A17">
                              <w:rPr>
                                <w:rFonts w:eastAsia="Calibri" w:cs="Times New Roman"/>
                                <w:sz w:val="20"/>
                                <w:szCs w:val="20"/>
                              </w:rPr>
                              <w:t>73</w:t>
                            </w:r>
                            <w:r w:rsidR="002848B3" w:rsidRPr="002848B3">
                              <w:rPr>
                                <w:rFonts w:eastAsia="Calibri" w:cs="Times New Roman"/>
                                <w:sz w:val="20"/>
                                <w:szCs w:val="20"/>
                              </w:rPr>
                              <w:t xml:space="preserve"> community cases; 2</w:t>
                            </w:r>
                            <w:r w:rsidR="00DE7A17">
                              <w:rPr>
                                <w:rFonts w:eastAsia="Calibri" w:cs="Times New Roman"/>
                                <w:sz w:val="20"/>
                                <w:szCs w:val="20"/>
                              </w:rPr>
                              <w:t>3</w:t>
                            </w:r>
                            <w:r w:rsidR="002848B3" w:rsidRPr="002848B3">
                              <w:rPr>
                                <w:rFonts w:eastAsia="Calibri" w:cs="Times New Roman"/>
                                <w:sz w:val="20"/>
                                <w:szCs w:val="20"/>
                              </w:rPr>
                              <w:t>% were hospitalised.</w:t>
                            </w:r>
                          </w:p>
                          <w:p w14:paraId="3014012F" w14:textId="77777777" w:rsidR="00D050EF" w:rsidRPr="00FC2612" w:rsidRDefault="00171EAF" w:rsidP="00F25D18">
                            <w:pPr>
                              <w:jc w:val="center"/>
                            </w:pPr>
                            <w:r w:rsidRPr="00171EAF">
                              <w:rPr>
                                <w:noProof/>
                              </w:rPr>
                              <w:drawing>
                                <wp:inline distT="0" distB="0" distL="0" distR="0" wp14:anchorId="1062D2B3" wp14:editId="3A39E4A9">
                                  <wp:extent cx="5715000" cy="258938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550" cy="2616369"/>
                                          </a:xfrm>
                                          <a:prstGeom prst="rect">
                                            <a:avLst/>
                                          </a:prstGeom>
                                          <a:noFill/>
                                          <a:ln>
                                            <a:noFill/>
                                          </a:ln>
                                        </pic:spPr>
                                      </pic:pic>
                                    </a:graphicData>
                                  </a:graphic>
                                </wp:inline>
                              </w:drawing>
                            </w:r>
                          </w:p>
                          <w:p w14:paraId="0A7E22D2" w14:textId="5EE2B7F1" w:rsidR="00D050EF" w:rsidRPr="00600F2C" w:rsidRDefault="00DB0727" w:rsidP="00D050EF">
                            <w:pPr>
                              <w:pStyle w:val="Caption"/>
                              <w:spacing w:line="240" w:lineRule="auto"/>
                              <w:rPr>
                                <w:color w:val="465E9C" w:themeColor="text2"/>
                                <w:sz w:val="20"/>
                              </w:rPr>
                            </w:pPr>
                            <w:r w:rsidRPr="00F25D18">
                              <w:rPr>
                                <w:color w:val="465E9C" w:themeColor="text2"/>
                                <w:sz w:val="20"/>
                              </w:rPr>
                              <w:t>Figure</w:t>
                            </w:r>
                            <w:r w:rsidR="002E4566">
                              <w:rPr>
                                <w:color w:val="465E9C" w:themeColor="text2"/>
                                <w:sz w:val="20"/>
                              </w:rPr>
                              <w:t xml:space="preserve"> 1</w:t>
                            </w:r>
                            <w:r w:rsidR="00D050EF" w:rsidRPr="00F25D18">
                              <w:rPr>
                                <w:color w:val="465E9C" w:themeColor="text2"/>
                                <w:sz w:val="20"/>
                              </w:rPr>
                              <w:t xml:space="preserve">: </w:t>
                            </w:r>
                            <w:r w:rsidR="00D050EF" w:rsidRPr="00600F2C">
                              <w:rPr>
                                <w:color w:val="465E9C" w:themeColor="text2"/>
                                <w:sz w:val="20"/>
                              </w:rPr>
                              <w:t xml:space="preserve">Notifications of </w:t>
                            </w:r>
                            <w:r w:rsidR="00D050EF" w:rsidRPr="00600F2C">
                              <w:rPr>
                                <w:i/>
                                <w:color w:val="465E9C" w:themeColor="text2"/>
                                <w:sz w:val="20"/>
                              </w:rPr>
                              <w:t>Salmonella</w:t>
                            </w:r>
                            <w:r w:rsidR="00D050EF" w:rsidRPr="00600F2C">
                              <w:rPr>
                                <w:color w:val="465E9C" w:themeColor="text2"/>
                                <w:sz w:val="20"/>
                              </w:rPr>
                              <w:t xml:space="preserve"> Typhimurium MLVA 03-17-09-12-523 in WA, 2016 to </w:t>
                            </w:r>
                            <w:r w:rsidR="00BF4F31">
                              <w:rPr>
                                <w:color w:val="465E9C" w:themeColor="text2"/>
                                <w:sz w:val="20"/>
                              </w:rPr>
                              <w:t>March</w:t>
                            </w:r>
                            <w:r w:rsidR="00D050EF" w:rsidRPr="00600F2C">
                              <w:rPr>
                                <w:color w:val="465E9C" w:themeColor="text2"/>
                                <w:sz w:val="20"/>
                              </w:rPr>
                              <w:t xml:space="preserve"> 20</w:t>
                            </w:r>
                            <w:r w:rsidR="00BF4F31">
                              <w:rPr>
                                <w:color w:val="465E9C" w:themeColor="text2"/>
                                <w:sz w:val="20"/>
                              </w:rPr>
                              <w:t>20</w:t>
                            </w:r>
                          </w:p>
                          <w:p w14:paraId="240A955A" w14:textId="77777777" w:rsidR="00256108" w:rsidRPr="0014114D" w:rsidRDefault="00256108" w:rsidP="0087065F">
                            <w:pPr>
                              <w:spacing w:line="360" w:lineRule="auto"/>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96EBB" id="_x0000_s1034" type="#_x0000_t202" style="position:absolute;margin-left:-37.6pt;margin-top:2.55pt;width:528.25pt;height:38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" fillcolor="#d7dded [671]" stroked="f">
                <v:fill opacity="32896f"/>
                <v:textbox>
                  <w:txbxContent>
                    <w:p w14:paraId="453BC760" w14:textId="77777777" w:rsidR="00447A73" w:rsidRPr="00600F2C" w:rsidRDefault="00F16266" w:rsidP="0012565F">
                      <w:pPr>
                        <w:spacing w:after="0"/>
                        <w:jc w:val="center"/>
                        <w:rPr>
                          <w:rFonts w:ascii="Calibri" w:eastAsia="+mn-ea" w:hAnsi="Calibri" w:cs="+mn-cs"/>
                          <w:b/>
                          <w:bCs/>
                          <w:color w:val="465E9C" w:themeColor="text2"/>
                          <w:kern w:val="24"/>
                          <w:sz w:val="32"/>
                          <w:szCs w:val="32"/>
                          <w:lang w:eastAsia="en-AU"/>
                        </w:rPr>
                      </w:pPr>
                      <w:r w:rsidRPr="00600F2C">
                        <w:rPr>
                          <w:rFonts w:ascii="Calibri" w:eastAsia="+mn-ea" w:hAnsi="Calibri" w:cs="+mn-cs"/>
                          <w:b/>
                          <w:bCs/>
                          <w:color w:val="465E9C" w:themeColor="text2"/>
                          <w:kern w:val="24"/>
                          <w:sz w:val="32"/>
                          <w:szCs w:val="32"/>
                          <w:lang w:eastAsia="en-AU"/>
                        </w:rPr>
                        <w:t xml:space="preserve">Key trends from Quarter </w:t>
                      </w:r>
                      <w:r w:rsidR="00BF4F31">
                        <w:rPr>
                          <w:rFonts w:ascii="Calibri" w:eastAsia="+mn-ea" w:hAnsi="Calibri" w:cs="+mn-cs"/>
                          <w:b/>
                          <w:bCs/>
                          <w:color w:val="465E9C" w:themeColor="text2"/>
                          <w:kern w:val="24"/>
                          <w:sz w:val="32"/>
                          <w:szCs w:val="32"/>
                          <w:lang w:eastAsia="en-AU"/>
                        </w:rPr>
                        <w:t>1</w:t>
                      </w:r>
                      <w:r w:rsidRPr="00600F2C">
                        <w:rPr>
                          <w:rFonts w:ascii="Calibri" w:eastAsia="+mn-ea" w:hAnsi="Calibri" w:cs="+mn-cs"/>
                          <w:b/>
                          <w:bCs/>
                          <w:color w:val="465E9C" w:themeColor="text2"/>
                          <w:kern w:val="24"/>
                          <w:sz w:val="32"/>
                          <w:szCs w:val="32"/>
                          <w:lang w:eastAsia="en-AU"/>
                        </w:rPr>
                        <w:t xml:space="preserve"> 20</w:t>
                      </w:r>
                      <w:r w:rsidR="00BF4F31">
                        <w:rPr>
                          <w:rFonts w:ascii="Calibri" w:eastAsia="+mn-ea" w:hAnsi="Calibri" w:cs="+mn-cs"/>
                          <w:b/>
                          <w:bCs/>
                          <w:color w:val="465E9C" w:themeColor="text2"/>
                          <w:kern w:val="24"/>
                          <w:sz w:val="32"/>
                          <w:szCs w:val="32"/>
                          <w:lang w:eastAsia="en-AU"/>
                        </w:rPr>
                        <w:t>20</w:t>
                      </w:r>
                    </w:p>
                    <w:p w14:paraId="215C961A" w14:textId="77777777" w:rsidR="00D050EF" w:rsidRPr="00931BD5" w:rsidRDefault="00D050EF" w:rsidP="0012565F">
                      <w:pPr>
                        <w:spacing w:after="0"/>
                        <w:jc w:val="center"/>
                        <w:rPr>
                          <w:rFonts w:ascii="Times New Roman" w:eastAsia="Times New Roman" w:hAnsi="Times New Roman" w:cs="Times New Roman"/>
                          <w:color w:val="000000" w:themeColor="text1"/>
                          <w:sz w:val="32"/>
                          <w:szCs w:val="32"/>
                          <w:lang w:eastAsia="en-AU"/>
                        </w:rPr>
                      </w:pPr>
                    </w:p>
                    <w:p w14:paraId="77F73052" w14:textId="77777777" w:rsidR="00BB48D3" w:rsidRPr="00931BD5" w:rsidRDefault="00BB48D3" w:rsidP="00BB48D3">
                      <w:pPr>
                        <w:rPr>
                          <w:rFonts w:eastAsia="Calibri" w:cs="Times New Roman"/>
                          <w:b/>
                          <w:color w:val="465E9C"/>
                          <w:sz w:val="20"/>
                          <w:szCs w:val="20"/>
                        </w:rPr>
                      </w:pPr>
                      <w:r w:rsidRPr="00931BD5">
                        <w:rPr>
                          <w:rFonts w:eastAsia="Calibri" w:cs="Times New Roman"/>
                          <w:b/>
                          <w:i/>
                          <w:color w:val="465E9C"/>
                          <w:sz w:val="20"/>
                          <w:szCs w:val="20"/>
                        </w:rPr>
                        <w:t>Salmonella</w:t>
                      </w:r>
                      <w:r w:rsidRPr="00931BD5">
                        <w:rPr>
                          <w:rFonts w:eastAsia="Calibri" w:cs="Times New Roman"/>
                          <w:b/>
                          <w:color w:val="465E9C"/>
                          <w:sz w:val="20"/>
                          <w:szCs w:val="20"/>
                        </w:rPr>
                        <w:t xml:space="preserve"> Typhimurium (STM) MLVA</w:t>
                      </w:r>
                      <w:r w:rsidRPr="00C862D8">
                        <w:rPr>
                          <w:rFonts w:eastAsia="Calibri" w:cs="Times New Roman"/>
                          <w:b/>
                          <w:color w:val="FF0000"/>
                          <w:sz w:val="20"/>
                          <w:szCs w:val="20"/>
                        </w:rPr>
                        <w:t xml:space="preserve"> </w:t>
                      </w:r>
                      <w:r w:rsidRPr="00600F2C">
                        <w:rPr>
                          <w:rFonts w:eastAsia="Calibri" w:cs="Times New Roman"/>
                          <w:b/>
                          <w:color w:val="465E9C" w:themeColor="text2"/>
                          <w:sz w:val="20"/>
                          <w:szCs w:val="20"/>
                        </w:rPr>
                        <w:t xml:space="preserve">03-17-09-12-523 </w:t>
                      </w:r>
                    </w:p>
                    <w:p w14:paraId="6105A190" w14:textId="28DD9EEF" w:rsidR="00BB48D3" w:rsidRPr="00627EBE" w:rsidRDefault="00BB48D3" w:rsidP="00BB48D3">
                      <w:pPr>
                        <w:rPr>
                          <w:rFonts w:eastAsia="Calibri" w:cs="Times New Roman"/>
                          <w:b/>
                          <w:color w:val="FF0000"/>
                          <w:sz w:val="20"/>
                          <w:szCs w:val="20"/>
                        </w:rPr>
                      </w:pPr>
                      <w:r w:rsidRPr="00995323">
                        <w:rPr>
                          <w:rFonts w:eastAsia="Calibri" w:cs="Times New Roman"/>
                          <w:sz w:val="20"/>
                          <w:szCs w:val="20"/>
                        </w:rPr>
                        <w:t>STM MLVA 03-17-09-12-523 has been under investigation since the type emerged in September 2016. From September 20</w:t>
                      </w:r>
                      <w:r w:rsidR="00931BD5" w:rsidRPr="00995323">
                        <w:rPr>
                          <w:rFonts w:eastAsia="Calibri" w:cs="Times New Roman"/>
                          <w:sz w:val="20"/>
                          <w:szCs w:val="20"/>
                        </w:rPr>
                        <w:t xml:space="preserve">16 to </w:t>
                      </w:r>
                      <w:r w:rsidR="00F51AF5">
                        <w:rPr>
                          <w:rFonts w:eastAsia="Calibri" w:cs="Times New Roman"/>
                          <w:sz w:val="20"/>
                          <w:szCs w:val="20"/>
                        </w:rPr>
                        <w:t>March</w:t>
                      </w:r>
                      <w:r w:rsidR="00931BD5" w:rsidRPr="00995323">
                        <w:rPr>
                          <w:rFonts w:eastAsia="Calibri" w:cs="Times New Roman"/>
                          <w:sz w:val="20"/>
                          <w:szCs w:val="20"/>
                        </w:rPr>
                        <w:t xml:space="preserve"> 20</w:t>
                      </w:r>
                      <w:r w:rsidR="00F51AF5">
                        <w:rPr>
                          <w:rFonts w:eastAsia="Calibri" w:cs="Times New Roman"/>
                          <w:sz w:val="20"/>
                          <w:szCs w:val="20"/>
                        </w:rPr>
                        <w:t>20</w:t>
                      </w:r>
                      <w:r w:rsidR="00931BD5" w:rsidRPr="00995323">
                        <w:rPr>
                          <w:rFonts w:eastAsia="Calibri" w:cs="Times New Roman"/>
                          <w:sz w:val="20"/>
                          <w:szCs w:val="20"/>
                        </w:rPr>
                        <w:t xml:space="preserve"> there </w:t>
                      </w:r>
                      <w:r w:rsidR="00995323" w:rsidRPr="00995323">
                        <w:rPr>
                          <w:rFonts w:eastAsia="Calibri" w:cs="Times New Roman"/>
                          <w:sz w:val="20"/>
                          <w:szCs w:val="20"/>
                        </w:rPr>
                        <w:t>were 1</w:t>
                      </w:r>
                      <w:r w:rsidR="00171EAF">
                        <w:rPr>
                          <w:rFonts w:eastAsia="Calibri" w:cs="Times New Roman"/>
                          <w:sz w:val="20"/>
                          <w:szCs w:val="20"/>
                        </w:rPr>
                        <w:t>582</w:t>
                      </w:r>
                      <w:r w:rsidRPr="00995323">
                        <w:rPr>
                          <w:rFonts w:eastAsia="Calibri" w:cs="Times New Roman"/>
                          <w:sz w:val="20"/>
                          <w:szCs w:val="20"/>
                        </w:rPr>
                        <w:t xml:space="preserve"> cases notified</w:t>
                      </w:r>
                      <w:r w:rsidR="00931BD5" w:rsidRPr="00995323">
                        <w:rPr>
                          <w:rFonts w:eastAsia="Calibri" w:cs="Times New Roman"/>
                          <w:sz w:val="20"/>
                          <w:szCs w:val="20"/>
                        </w:rPr>
                        <w:t xml:space="preserve">, including </w:t>
                      </w:r>
                      <w:r w:rsidR="00171EAF">
                        <w:rPr>
                          <w:rFonts w:eastAsia="Calibri" w:cs="Times New Roman"/>
                          <w:sz w:val="20"/>
                          <w:szCs w:val="20"/>
                        </w:rPr>
                        <w:t>108</w:t>
                      </w:r>
                      <w:r w:rsidR="00995323" w:rsidRPr="00995323">
                        <w:rPr>
                          <w:rFonts w:eastAsia="Calibri" w:cs="Times New Roman"/>
                          <w:sz w:val="20"/>
                          <w:szCs w:val="20"/>
                        </w:rPr>
                        <w:t xml:space="preserve"> cases in </w:t>
                      </w:r>
                      <w:r w:rsidR="00171EAF">
                        <w:rPr>
                          <w:rFonts w:eastAsia="Calibri" w:cs="Times New Roman"/>
                          <w:sz w:val="20"/>
                          <w:szCs w:val="20"/>
                        </w:rPr>
                        <w:t>1</w:t>
                      </w:r>
                      <w:r w:rsidRPr="00995323">
                        <w:rPr>
                          <w:rFonts w:eastAsia="Calibri" w:cs="Times New Roman"/>
                          <w:sz w:val="20"/>
                          <w:szCs w:val="20"/>
                        </w:rPr>
                        <w:t>Q</w:t>
                      </w:r>
                      <w:r w:rsidR="00171EAF">
                        <w:rPr>
                          <w:rFonts w:eastAsia="Calibri" w:cs="Times New Roman"/>
                          <w:sz w:val="20"/>
                          <w:szCs w:val="20"/>
                        </w:rPr>
                        <w:t>20</w:t>
                      </w:r>
                      <w:r w:rsidRPr="00995323">
                        <w:rPr>
                          <w:rFonts w:eastAsia="Calibri" w:cs="Times New Roman"/>
                          <w:sz w:val="20"/>
                          <w:szCs w:val="20"/>
                        </w:rPr>
                        <w:t>. This MLVA type was the single mos</w:t>
                      </w:r>
                      <w:r w:rsidR="00600F2C">
                        <w:rPr>
                          <w:rFonts w:eastAsia="Calibri" w:cs="Times New Roman"/>
                          <w:sz w:val="20"/>
                          <w:szCs w:val="20"/>
                        </w:rPr>
                        <w:t xml:space="preserve">t common MLVA type notified in </w:t>
                      </w:r>
                      <w:r w:rsidR="006441F7">
                        <w:rPr>
                          <w:rFonts w:eastAsia="Calibri" w:cs="Times New Roman"/>
                          <w:sz w:val="20"/>
                          <w:szCs w:val="20"/>
                        </w:rPr>
                        <w:t>1</w:t>
                      </w:r>
                      <w:r w:rsidRPr="00995323">
                        <w:rPr>
                          <w:rFonts w:eastAsia="Calibri" w:cs="Times New Roman"/>
                          <w:sz w:val="20"/>
                          <w:szCs w:val="20"/>
                        </w:rPr>
                        <w:t>Q</w:t>
                      </w:r>
                      <w:r w:rsidR="006441F7">
                        <w:rPr>
                          <w:rFonts w:eastAsia="Calibri" w:cs="Times New Roman"/>
                          <w:sz w:val="20"/>
                          <w:szCs w:val="20"/>
                        </w:rPr>
                        <w:t>20</w:t>
                      </w:r>
                      <w:r w:rsidRPr="00995323">
                        <w:rPr>
                          <w:rFonts w:eastAsia="Calibri" w:cs="Times New Roman"/>
                          <w:sz w:val="20"/>
                          <w:szCs w:val="20"/>
                        </w:rPr>
                        <w:t xml:space="preserve">, constituting </w:t>
                      </w:r>
                      <w:r w:rsidR="006441F7">
                        <w:rPr>
                          <w:rFonts w:eastAsia="Calibri" w:cs="Times New Roman"/>
                          <w:sz w:val="20"/>
                          <w:szCs w:val="20"/>
                        </w:rPr>
                        <w:t>34</w:t>
                      </w:r>
                      <w:r w:rsidRPr="00995323">
                        <w:rPr>
                          <w:rFonts w:eastAsia="Calibri" w:cs="Arial"/>
                          <w:sz w:val="20"/>
                          <w:szCs w:val="20"/>
                        </w:rPr>
                        <w:t>%</w:t>
                      </w:r>
                      <w:r w:rsidRPr="00995323">
                        <w:rPr>
                          <w:rFonts w:eastAsia="Calibri" w:cs="Times New Roman"/>
                          <w:sz w:val="20"/>
                          <w:szCs w:val="20"/>
                        </w:rPr>
                        <w:t xml:space="preserve"> of STM notifications for the quarter. </w:t>
                      </w:r>
                      <w:r w:rsidR="006441F7">
                        <w:rPr>
                          <w:rFonts w:eastAsia="Calibri" w:cs="Times New Roman"/>
                          <w:sz w:val="20"/>
                          <w:szCs w:val="20"/>
                        </w:rPr>
                        <w:t xml:space="preserve">Of the 108 cases, 22 (20%) were part of </w:t>
                      </w:r>
                      <w:proofErr w:type="gramStart"/>
                      <w:r w:rsidR="006441F7">
                        <w:rPr>
                          <w:rFonts w:eastAsia="Calibri" w:cs="Times New Roman"/>
                          <w:sz w:val="20"/>
                          <w:szCs w:val="20"/>
                        </w:rPr>
                        <w:t>three</w:t>
                      </w:r>
                      <w:r w:rsidR="00600F2C">
                        <w:rPr>
                          <w:rFonts w:eastAsia="Calibri" w:cs="Times New Roman"/>
                          <w:sz w:val="20"/>
                          <w:szCs w:val="20"/>
                        </w:rPr>
                        <w:t xml:space="preserve"> point</w:t>
                      </w:r>
                      <w:proofErr w:type="gramEnd"/>
                      <w:r w:rsidR="00600F2C">
                        <w:rPr>
                          <w:rFonts w:eastAsia="Calibri" w:cs="Times New Roman"/>
                          <w:sz w:val="20"/>
                          <w:szCs w:val="20"/>
                        </w:rPr>
                        <w:t xml:space="preserve"> source outbreaks identified in </w:t>
                      </w:r>
                      <w:r w:rsidR="006441F7" w:rsidRPr="00641DA6">
                        <w:rPr>
                          <w:rFonts w:eastAsia="Calibri" w:cs="Times New Roman"/>
                          <w:sz w:val="20"/>
                          <w:szCs w:val="20"/>
                        </w:rPr>
                        <w:t>1</w:t>
                      </w:r>
                      <w:r w:rsidR="00600F2C" w:rsidRPr="00641DA6">
                        <w:rPr>
                          <w:rFonts w:eastAsia="Calibri" w:cs="Times New Roman"/>
                          <w:sz w:val="20"/>
                          <w:szCs w:val="20"/>
                        </w:rPr>
                        <w:t>Q</w:t>
                      </w:r>
                      <w:r w:rsidR="006441F7" w:rsidRPr="00641DA6">
                        <w:rPr>
                          <w:rFonts w:eastAsia="Calibri" w:cs="Times New Roman"/>
                          <w:sz w:val="20"/>
                          <w:szCs w:val="20"/>
                        </w:rPr>
                        <w:t>20</w:t>
                      </w:r>
                      <w:r w:rsidR="00600F2C" w:rsidRPr="00641DA6">
                        <w:rPr>
                          <w:rFonts w:eastAsia="Calibri" w:cs="Times New Roman"/>
                          <w:sz w:val="20"/>
                          <w:szCs w:val="20"/>
                        </w:rPr>
                        <w:t xml:space="preserve">. </w:t>
                      </w:r>
                      <w:r w:rsidR="002848B3" w:rsidRPr="00641DA6">
                        <w:rPr>
                          <w:rFonts w:eastAsia="Calibri" w:cs="Times New Roman"/>
                          <w:sz w:val="20"/>
                          <w:szCs w:val="20"/>
                        </w:rPr>
                        <w:t xml:space="preserve">A </w:t>
                      </w:r>
                      <w:r w:rsidR="00DE7A17" w:rsidRPr="00641DA6">
                        <w:rPr>
                          <w:rFonts w:eastAsia="Calibri" w:cs="Times New Roman"/>
                          <w:sz w:val="20"/>
                          <w:szCs w:val="20"/>
                        </w:rPr>
                        <w:t>beef lasagne</w:t>
                      </w:r>
                      <w:r w:rsidR="002848B3" w:rsidRPr="00641DA6">
                        <w:rPr>
                          <w:rFonts w:eastAsia="Calibri" w:cs="Times New Roman"/>
                          <w:sz w:val="20"/>
                          <w:szCs w:val="20"/>
                        </w:rPr>
                        <w:t xml:space="preserve"> </w:t>
                      </w:r>
                      <w:r w:rsidR="00DE7A17" w:rsidRPr="00641DA6">
                        <w:rPr>
                          <w:rFonts w:eastAsia="Calibri" w:cs="Times New Roman"/>
                          <w:sz w:val="20"/>
                          <w:szCs w:val="20"/>
                        </w:rPr>
                        <w:t>with undercooked pasta sheets</w:t>
                      </w:r>
                      <w:r w:rsidR="00240211">
                        <w:rPr>
                          <w:rFonts w:eastAsia="Calibri" w:cs="Times New Roman"/>
                          <w:sz w:val="20"/>
                          <w:szCs w:val="20"/>
                        </w:rPr>
                        <w:t xml:space="preserve"> containing raw eggs</w:t>
                      </w:r>
                      <w:r w:rsidR="00DE7A17" w:rsidRPr="00641DA6">
                        <w:rPr>
                          <w:rFonts w:eastAsia="Calibri" w:cs="Times New Roman"/>
                          <w:sz w:val="20"/>
                          <w:szCs w:val="20"/>
                        </w:rPr>
                        <w:t xml:space="preserve"> </w:t>
                      </w:r>
                      <w:r w:rsidR="002848B3" w:rsidRPr="00641DA6">
                        <w:rPr>
                          <w:rFonts w:eastAsia="Calibri" w:cs="Times New Roman"/>
                          <w:sz w:val="20"/>
                          <w:szCs w:val="20"/>
                        </w:rPr>
                        <w:t>was implicated in one outbreak</w:t>
                      </w:r>
                      <w:r w:rsidR="00DE7A17" w:rsidRPr="00641DA6">
                        <w:rPr>
                          <w:rFonts w:eastAsia="Calibri" w:cs="Times New Roman"/>
                          <w:sz w:val="20"/>
                          <w:szCs w:val="20"/>
                        </w:rPr>
                        <w:t xml:space="preserve">; </w:t>
                      </w:r>
                      <w:r w:rsidR="002848B3" w:rsidRPr="00641DA6">
                        <w:rPr>
                          <w:rFonts w:eastAsia="Calibri" w:cs="Times New Roman"/>
                          <w:sz w:val="20"/>
                          <w:szCs w:val="20"/>
                        </w:rPr>
                        <w:t xml:space="preserve">the </w:t>
                      </w:r>
                      <w:r w:rsidR="00641DA6" w:rsidRPr="00641DA6">
                        <w:rPr>
                          <w:rFonts w:eastAsia="Calibri" w:cs="Times New Roman"/>
                          <w:sz w:val="20"/>
                          <w:szCs w:val="20"/>
                        </w:rPr>
                        <w:t>vehicle was unknown in the other two 1Q20</w:t>
                      </w:r>
                      <w:r w:rsidR="00DE7A17" w:rsidRPr="00641DA6">
                        <w:rPr>
                          <w:rFonts w:eastAsia="Calibri" w:cs="Times New Roman"/>
                          <w:sz w:val="20"/>
                          <w:szCs w:val="20"/>
                        </w:rPr>
                        <w:t xml:space="preserve"> outbreaks of this MLVA type wh</w:t>
                      </w:r>
                      <w:r w:rsidR="00641DA6" w:rsidRPr="00641DA6">
                        <w:rPr>
                          <w:rFonts w:eastAsia="Calibri" w:cs="Times New Roman"/>
                          <w:sz w:val="20"/>
                          <w:szCs w:val="20"/>
                        </w:rPr>
                        <w:t xml:space="preserve">ich were at </w:t>
                      </w:r>
                      <w:r w:rsidR="00DE7A17" w:rsidRPr="00641DA6">
                        <w:rPr>
                          <w:rFonts w:eastAsia="Calibri" w:cs="Times New Roman"/>
                          <w:sz w:val="20"/>
                          <w:szCs w:val="20"/>
                        </w:rPr>
                        <w:t>aged care facilities</w:t>
                      </w:r>
                      <w:r w:rsidR="002848B3" w:rsidRPr="00641DA6">
                        <w:rPr>
                          <w:rFonts w:eastAsia="Calibri" w:cs="Times New Roman"/>
                          <w:sz w:val="20"/>
                          <w:szCs w:val="20"/>
                        </w:rPr>
                        <w:t xml:space="preserve">. Of the remaining </w:t>
                      </w:r>
                      <w:r w:rsidR="00DE7A17" w:rsidRPr="00641DA6">
                        <w:rPr>
                          <w:rFonts w:eastAsia="Calibri" w:cs="Times New Roman"/>
                          <w:sz w:val="20"/>
                          <w:szCs w:val="20"/>
                        </w:rPr>
                        <w:t>86</w:t>
                      </w:r>
                      <w:r w:rsidR="002848B3" w:rsidRPr="00641DA6">
                        <w:rPr>
                          <w:rFonts w:eastAsia="Calibri" w:cs="Times New Roman"/>
                          <w:sz w:val="20"/>
                          <w:szCs w:val="20"/>
                        </w:rPr>
                        <w:t xml:space="preserve"> cases, most (</w:t>
                      </w:r>
                      <w:r w:rsidR="00DE7A17" w:rsidRPr="00641DA6">
                        <w:rPr>
                          <w:rFonts w:eastAsia="Calibri" w:cs="Times New Roman"/>
                          <w:sz w:val="20"/>
                          <w:szCs w:val="20"/>
                        </w:rPr>
                        <w:t>91</w:t>
                      </w:r>
                      <w:r w:rsidR="002848B3" w:rsidRPr="00641DA6">
                        <w:rPr>
                          <w:rFonts w:eastAsia="Calibri" w:cs="Times New Roman"/>
                          <w:sz w:val="20"/>
                          <w:szCs w:val="20"/>
                        </w:rPr>
                        <w:t>%) resided in</w:t>
                      </w:r>
                      <w:r w:rsidR="002848B3" w:rsidRPr="002848B3">
                        <w:rPr>
                          <w:rFonts w:eastAsia="Calibri" w:cs="Times New Roman"/>
                          <w:sz w:val="20"/>
                          <w:szCs w:val="20"/>
                        </w:rPr>
                        <w:t xml:space="preserve"> the Perth metropolitan area. Hospitalisation data were confirmed for </w:t>
                      </w:r>
                      <w:r w:rsidR="00DE7A17">
                        <w:rPr>
                          <w:rFonts w:eastAsia="Calibri" w:cs="Times New Roman"/>
                          <w:sz w:val="20"/>
                          <w:szCs w:val="20"/>
                        </w:rPr>
                        <w:t>73</w:t>
                      </w:r>
                      <w:r w:rsidR="002848B3" w:rsidRPr="002848B3">
                        <w:rPr>
                          <w:rFonts w:eastAsia="Calibri" w:cs="Times New Roman"/>
                          <w:sz w:val="20"/>
                          <w:szCs w:val="20"/>
                        </w:rPr>
                        <w:t xml:space="preserve"> community cases; 2</w:t>
                      </w:r>
                      <w:r w:rsidR="00DE7A17">
                        <w:rPr>
                          <w:rFonts w:eastAsia="Calibri" w:cs="Times New Roman"/>
                          <w:sz w:val="20"/>
                          <w:szCs w:val="20"/>
                        </w:rPr>
                        <w:t>3</w:t>
                      </w:r>
                      <w:r w:rsidR="002848B3" w:rsidRPr="002848B3">
                        <w:rPr>
                          <w:rFonts w:eastAsia="Calibri" w:cs="Times New Roman"/>
                          <w:sz w:val="20"/>
                          <w:szCs w:val="20"/>
                        </w:rPr>
                        <w:t>% were hospitalised.</w:t>
                      </w:r>
                    </w:p>
                    <w:p w14:paraId="3014012F" w14:textId="77777777" w:rsidR="00D050EF" w:rsidRPr="00FC2612" w:rsidRDefault="00171EAF" w:rsidP="00F25D18">
                      <w:pPr>
                        <w:jc w:val="center"/>
                      </w:pPr>
                      <w:r w:rsidRPr="00171EAF">
                        <w:rPr>
                          <w:noProof/>
                        </w:rPr>
                        <w:drawing>
                          <wp:inline distT="0" distB="0" distL="0" distR="0" wp14:anchorId="1062D2B3" wp14:editId="3A39E4A9">
                            <wp:extent cx="5715000" cy="258938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550" cy="2616369"/>
                                    </a:xfrm>
                                    <a:prstGeom prst="rect">
                                      <a:avLst/>
                                    </a:prstGeom>
                                    <a:noFill/>
                                    <a:ln>
                                      <a:noFill/>
                                    </a:ln>
                                  </pic:spPr>
                                </pic:pic>
                              </a:graphicData>
                            </a:graphic>
                          </wp:inline>
                        </w:drawing>
                      </w:r>
                    </w:p>
                    <w:p w14:paraId="0A7E22D2" w14:textId="5EE2B7F1" w:rsidR="00D050EF" w:rsidRPr="00600F2C" w:rsidRDefault="00DB0727" w:rsidP="00D050EF">
                      <w:pPr>
                        <w:pStyle w:val="Caption"/>
                        <w:spacing w:line="240" w:lineRule="auto"/>
                        <w:rPr>
                          <w:color w:val="465E9C" w:themeColor="text2"/>
                          <w:sz w:val="20"/>
                        </w:rPr>
                      </w:pPr>
                      <w:r w:rsidRPr="00F25D18">
                        <w:rPr>
                          <w:color w:val="465E9C" w:themeColor="text2"/>
                          <w:sz w:val="20"/>
                        </w:rPr>
                        <w:t>Figure</w:t>
                      </w:r>
                      <w:r w:rsidR="002E4566">
                        <w:rPr>
                          <w:color w:val="465E9C" w:themeColor="text2"/>
                          <w:sz w:val="20"/>
                        </w:rPr>
                        <w:t xml:space="preserve"> 1</w:t>
                      </w:r>
                      <w:r w:rsidR="00D050EF" w:rsidRPr="00F25D18">
                        <w:rPr>
                          <w:color w:val="465E9C" w:themeColor="text2"/>
                          <w:sz w:val="20"/>
                        </w:rPr>
                        <w:t xml:space="preserve">: </w:t>
                      </w:r>
                      <w:r w:rsidR="00D050EF" w:rsidRPr="00600F2C">
                        <w:rPr>
                          <w:color w:val="465E9C" w:themeColor="text2"/>
                          <w:sz w:val="20"/>
                        </w:rPr>
                        <w:t xml:space="preserve">Notifications of </w:t>
                      </w:r>
                      <w:r w:rsidR="00D050EF" w:rsidRPr="00600F2C">
                        <w:rPr>
                          <w:i/>
                          <w:color w:val="465E9C" w:themeColor="text2"/>
                          <w:sz w:val="20"/>
                        </w:rPr>
                        <w:t>Salmonella</w:t>
                      </w:r>
                      <w:r w:rsidR="00D050EF" w:rsidRPr="00600F2C">
                        <w:rPr>
                          <w:color w:val="465E9C" w:themeColor="text2"/>
                          <w:sz w:val="20"/>
                        </w:rPr>
                        <w:t xml:space="preserve"> Typhimurium MLVA 03-17-09-12-523 in WA, 2016 to </w:t>
                      </w:r>
                      <w:r w:rsidR="00BF4F31">
                        <w:rPr>
                          <w:color w:val="465E9C" w:themeColor="text2"/>
                          <w:sz w:val="20"/>
                        </w:rPr>
                        <w:t>March</w:t>
                      </w:r>
                      <w:r w:rsidR="00D050EF" w:rsidRPr="00600F2C">
                        <w:rPr>
                          <w:color w:val="465E9C" w:themeColor="text2"/>
                          <w:sz w:val="20"/>
                        </w:rPr>
                        <w:t xml:space="preserve"> 20</w:t>
                      </w:r>
                      <w:r w:rsidR="00BF4F31">
                        <w:rPr>
                          <w:color w:val="465E9C" w:themeColor="text2"/>
                          <w:sz w:val="20"/>
                        </w:rPr>
                        <w:t>20</w:t>
                      </w:r>
                    </w:p>
                    <w:p w14:paraId="240A955A" w14:textId="77777777" w:rsidR="00256108" w:rsidRPr="0014114D" w:rsidRDefault="00256108" w:rsidP="0087065F">
                      <w:pPr>
                        <w:spacing w:line="360" w:lineRule="auto"/>
                        <w:rPr>
                          <w:b/>
                          <w:color w:val="000000" w:themeColor="text1"/>
                        </w:rPr>
                      </w:pPr>
                    </w:p>
                  </w:txbxContent>
                </v:textbox>
              </v:shape>
            </w:pict>
          </mc:Fallback>
        </mc:AlternateContent>
      </w:r>
    </w:p>
    <w:p w14:paraId="2AF0F440" w14:textId="77777777" w:rsidR="00286B46" w:rsidRDefault="00F16266" w:rsidP="00F16266">
      <w:pPr>
        <w:tabs>
          <w:tab w:val="left" w:pos="1861"/>
        </w:tabs>
      </w:pPr>
      <w:r>
        <w:tab/>
      </w:r>
    </w:p>
    <w:p w14:paraId="78D717A2" w14:textId="77777777" w:rsidR="00286B46" w:rsidRPr="00286B46" w:rsidRDefault="00286B46" w:rsidP="00286B46"/>
    <w:p w14:paraId="6EB2A0A1" w14:textId="77777777" w:rsidR="00286B46" w:rsidRPr="00286B46" w:rsidRDefault="00286B46" w:rsidP="00286B46"/>
    <w:p w14:paraId="55C92737" w14:textId="77777777" w:rsidR="00286B46" w:rsidRDefault="00286B46" w:rsidP="00286B46"/>
    <w:p w14:paraId="20F24405" w14:textId="77777777" w:rsidR="009342F3" w:rsidRDefault="009342F3" w:rsidP="00286B46">
      <w:pPr>
        <w:rPr>
          <w:b/>
          <w:color w:val="FF0000"/>
        </w:rPr>
      </w:pPr>
    </w:p>
    <w:p w14:paraId="092841E5" w14:textId="77777777" w:rsidR="009342F3" w:rsidRDefault="009342F3" w:rsidP="00286B46">
      <w:pPr>
        <w:rPr>
          <w:b/>
          <w:color w:val="FF0000"/>
        </w:rPr>
      </w:pPr>
    </w:p>
    <w:p w14:paraId="6874AC01" w14:textId="77777777" w:rsidR="009342F3" w:rsidRDefault="009342F3" w:rsidP="00286B46">
      <w:pPr>
        <w:rPr>
          <w:b/>
          <w:color w:val="FF0000"/>
        </w:rPr>
      </w:pPr>
    </w:p>
    <w:p w14:paraId="5EF79CF2" w14:textId="77777777" w:rsidR="009342F3" w:rsidRDefault="009342F3" w:rsidP="00286B46">
      <w:pPr>
        <w:rPr>
          <w:b/>
          <w:color w:val="FF0000"/>
        </w:rPr>
      </w:pPr>
    </w:p>
    <w:p w14:paraId="5C4CD00C" w14:textId="77777777" w:rsidR="009342F3" w:rsidRDefault="009342F3" w:rsidP="00286B46">
      <w:pPr>
        <w:rPr>
          <w:b/>
          <w:color w:val="FF0000"/>
        </w:rPr>
      </w:pPr>
    </w:p>
    <w:p w14:paraId="09D637ED" w14:textId="77777777" w:rsidR="0064090A" w:rsidRDefault="0064090A" w:rsidP="00286B46">
      <w:pPr>
        <w:rPr>
          <w:b/>
          <w:color w:val="FF0000"/>
        </w:rPr>
      </w:pPr>
    </w:p>
    <w:p w14:paraId="7A2C3139" w14:textId="77777777" w:rsidR="004C2780" w:rsidRDefault="004C2780" w:rsidP="00B62E68">
      <w:pPr>
        <w:rPr>
          <w:b/>
          <w:color w:val="FF0000"/>
        </w:rPr>
      </w:pPr>
    </w:p>
    <w:p w14:paraId="0C694568" w14:textId="77777777" w:rsidR="005D47ED" w:rsidRDefault="005D47ED" w:rsidP="00B62E68">
      <w:pPr>
        <w:rPr>
          <w:b/>
          <w:color w:val="FF0000"/>
        </w:rPr>
      </w:pPr>
    </w:p>
    <w:p w14:paraId="3D985743" w14:textId="77777777" w:rsidR="005D47ED" w:rsidRDefault="005D47ED" w:rsidP="00B62E68">
      <w:pPr>
        <w:rPr>
          <w:b/>
          <w:color w:val="FF0000"/>
        </w:rPr>
      </w:pPr>
    </w:p>
    <w:p w14:paraId="18586CD3" w14:textId="77777777" w:rsidR="005D47ED" w:rsidRDefault="005D47ED" w:rsidP="00B62E68">
      <w:pPr>
        <w:rPr>
          <w:b/>
          <w:color w:val="FF0000"/>
        </w:rPr>
      </w:pPr>
    </w:p>
    <w:p w14:paraId="13539912" w14:textId="77777777" w:rsidR="00A868F6" w:rsidRDefault="00B04133" w:rsidP="00B62E68">
      <w:pPr>
        <w:rPr>
          <w:b/>
          <w:color w:val="FF0000"/>
        </w:rPr>
      </w:pPr>
      <w:r>
        <w:rPr>
          <w:noProof/>
          <w:lang w:eastAsia="en-AU"/>
        </w:rPr>
        <w:lastRenderedPageBreak/>
        <mc:AlternateContent>
          <mc:Choice Requires="wps">
            <w:drawing>
              <wp:anchor distT="0" distB="0" distL="114300" distR="114300" simplePos="0" relativeHeight="251662848" behindDoc="0" locked="0" layoutInCell="1" allowOverlap="1" wp14:anchorId="2B1DB853" wp14:editId="2B0C7AD8">
                <wp:simplePos x="0" y="0"/>
                <wp:positionH relativeFrom="column">
                  <wp:posOffset>-542925</wp:posOffset>
                </wp:positionH>
                <wp:positionV relativeFrom="paragraph">
                  <wp:posOffset>-247650</wp:posOffset>
                </wp:positionV>
                <wp:extent cx="6708775" cy="6686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775" cy="6686550"/>
                        </a:xfrm>
                        <a:prstGeom prst="rect">
                          <a:avLst/>
                        </a:prstGeom>
                        <a:solidFill>
                          <a:schemeClr val="tx2">
                            <a:lumMod val="20000"/>
                            <a:lumOff val="80000"/>
                            <a:alpha val="50000"/>
                          </a:schemeClr>
                        </a:solidFill>
                        <a:ln w="9525">
                          <a:noFill/>
                          <a:miter lim="800000"/>
                          <a:headEnd/>
                          <a:tailEnd/>
                        </a:ln>
                      </wps:spPr>
                      <wps:txbx>
                        <w:txbxContent>
                          <w:p w14:paraId="77A417FF" w14:textId="77777777" w:rsidR="009C4DFF" w:rsidRPr="008D2F70" w:rsidRDefault="009C4DFF" w:rsidP="009C4DFF">
                            <w:pPr>
                              <w:rPr>
                                <w:b/>
                                <w:color w:val="465E9C" w:themeColor="text2"/>
                                <w:sz w:val="20"/>
                                <w:szCs w:val="20"/>
                              </w:rPr>
                            </w:pPr>
                            <w:r>
                              <w:rPr>
                                <w:b/>
                                <w:color w:val="465E9C" w:themeColor="text2"/>
                                <w:sz w:val="20"/>
                                <w:szCs w:val="20"/>
                              </w:rPr>
                              <w:t>Cryptosporidiosis</w:t>
                            </w:r>
                          </w:p>
                          <w:p w14:paraId="6D397883" w14:textId="0B50BD09" w:rsidR="008975CB" w:rsidRPr="008975CB" w:rsidRDefault="008975CB" w:rsidP="008975CB">
                            <w:pPr>
                              <w:rPr>
                                <w:sz w:val="20"/>
                                <w:szCs w:val="20"/>
                              </w:rPr>
                            </w:pPr>
                            <w:r>
                              <w:rPr>
                                <w:sz w:val="20"/>
                                <w:szCs w:val="20"/>
                              </w:rPr>
                              <w:t>A large cryptosporidiosis outbreak in the Perth metro area was</w:t>
                            </w:r>
                            <w:r w:rsidRPr="008975CB">
                              <w:rPr>
                                <w:sz w:val="20"/>
                                <w:szCs w:val="20"/>
                              </w:rPr>
                              <w:t xml:space="preserve"> investigated in the </w:t>
                            </w:r>
                            <w:r>
                              <w:rPr>
                                <w:sz w:val="20"/>
                                <w:szCs w:val="20"/>
                              </w:rPr>
                              <w:t>1Q</w:t>
                            </w:r>
                            <w:r w:rsidRPr="008975CB">
                              <w:rPr>
                                <w:sz w:val="20"/>
                                <w:szCs w:val="20"/>
                              </w:rPr>
                              <w:t>20. A total 376 cases were reported with onsets between 1st December</w:t>
                            </w:r>
                            <w:r w:rsidR="00240211">
                              <w:rPr>
                                <w:sz w:val="20"/>
                                <w:szCs w:val="20"/>
                              </w:rPr>
                              <w:t xml:space="preserve"> 2019</w:t>
                            </w:r>
                            <w:r w:rsidRPr="008975CB">
                              <w:rPr>
                                <w:sz w:val="20"/>
                                <w:szCs w:val="20"/>
                              </w:rPr>
                              <w:t xml:space="preserve"> </w:t>
                            </w:r>
                            <w:r w:rsidR="00240211">
                              <w:rPr>
                                <w:sz w:val="20"/>
                                <w:szCs w:val="20"/>
                              </w:rPr>
                              <w:t>and</w:t>
                            </w:r>
                            <w:r w:rsidRPr="008975CB">
                              <w:rPr>
                                <w:sz w:val="20"/>
                                <w:szCs w:val="20"/>
                              </w:rPr>
                              <w:t xml:space="preserve"> 31st March</w:t>
                            </w:r>
                            <w:r w:rsidR="00240211">
                              <w:rPr>
                                <w:sz w:val="20"/>
                                <w:szCs w:val="20"/>
                              </w:rPr>
                              <w:t xml:space="preserve"> 2020</w:t>
                            </w:r>
                            <w:r w:rsidRPr="008975CB">
                              <w:rPr>
                                <w:sz w:val="20"/>
                                <w:szCs w:val="20"/>
                              </w:rPr>
                              <w:t xml:space="preserve">. Under-fives were the most affected age group making up 33% of total cases. Twenty-four cases were hospitalised. Interviews were completed for 158 cases. </w:t>
                            </w:r>
                            <w:r w:rsidR="00240211">
                              <w:rPr>
                                <w:sz w:val="20"/>
                                <w:szCs w:val="20"/>
                              </w:rPr>
                              <w:t>A</w:t>
                            </w:r>
                            <w:r w:rsidRPr="008975CB">
                              <w:rPr>
                                <w:sz w:val="20"/>
                                <w:szCs w:val="20"/>
                              </w:rPr>
                              <w:t>quatic facilities w</w:t>
                            </w:r>
                            <w:r w:rsidR="00240211">
                              <w:rPr>
                                <w:sz w:val="20"/>
                                <w:szCs w:val="20"/>
                              </w:rPr>
                              <w:t>ere</w:t>
                            </w:r>
                            <w:r w:rsidRPr="008975CB">
                              <w:rPr>
                                <w:sz w:val="20"/>
                                <w:szCs w:val="20"/>
                              </w:rPr>
                              <w:t xml:space="preserve"> identified as the major exposure with multiple point source outbreaks detected. </w:t>
                            </w:r>
                          </w:p>
                          <w:p w14:paraId="50D12290" w14:textId="35834C9B" w:rsidR="008975CB" w:rsidRDefault="008975CB" w:rsidP="008975CB">
                            <w:pPr>
                              <w:rPr>
                                <w:sz w:val="20"/>
                                <w:szCs w:val="20"/>
                              </w:rPr>
                            </w:pPr>
                            <w:r w:rsidRPr="008975CB">
                              <w:rPr>
                                <w:sz w:val="20"/>
                                <w:szCs w:val="20"/>
                              </w:rPr>
                              <w:t xml:space="preserve">Of cases interviewed, 58 cases were linked to nine different aquatic facilities. In response a media statement was released urging people who have had diarrhoea not to enter any aquatic facility until at least two weeks after they have fully recovered. Local Government Environmental Health Officers were informed of point source outbreaks at aquatic facilities and followed up to review their records, ensure correct operational procedures were in place and in some cases recommend hyperchlorination. </w:t>
                            </w:r>
                          </w:p>
                          <w:p w14:paraId="0227DA97" w14:textId="3370AC88" w:rsidR="009C4DFF" w:rsidRDefault="008975CB" w:rsidP="008975CB">
                            <w:pPr>
                              <w:rPr>
                                <w:sz w:val="20"/>
                                <w:szCs w:val="20"/>
                                <w:highlight w:val="yellow"/>
                              </w:rPr>
                            </w:pPr>
                            <w:r w:rsidRPr="008975CB">
                              <w:rPr>
                                <w:sz w:val="20"/>
                                <w:szCs w:val="20"/>
                              </w:rPr>
                              <w:t>Due to COVID-19, strict social distancing measures were implemented throughout March which included the closure of all aquatic facilities on the 26th March. There was a marked reduction in cases in March</w:t>
                            </w:r>
                            <w:r w:rsidR="00240211">
                              <w:rPr>
                                <w:sz w:val="20"/>
                                <w:szCs w:val="20"/>
                              </w:rPr>
                              <w:t>,</w:t>
                            </w:r>
                            <w:r w:rsidRPr="008975CB">
                              <w:rPr>
                                <w:sz w:val="20"/>
                                <w:szCs w:val="20"/>
                              </w:rPr>
                              <w:t xml:space="preserve"> effectively ending the outbreak with levels returning close to baseline by the end of April.</w:t>
                            </w:r>
                          </w:p>
                          <w:p w14:paraId="4DF97206" w14:textId="77777777" w:rsidR="008975CB" w:rsidRDefault="00E705C8" w:rsidP="008975CB">
                            <w:pPr>
                              <w:jc w:val="center"/>
                              <w:rPr>
                                <w:sz w:val="20"/>
                                <w:szCs w:val="20"/>
                              </w:rPr>
                            </w:pPr>
                            <w:r w:rsidRPr="00E705C8">
                              <w:rPr>
                                <w:noProof/>
                              </w:rPr>
                              <w:drawing>
                                <wp:inline distT="0" distB="0" distL="0" distR="0" wp14:anchorId="5A05F3BF" wp14:editId="3164C3C0">
                                  <wp:extent cx="5848350" cy="24549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5017" cy="2461943"/>
                                          </a:xfrm>
                                          <a:prstGeom prst="rect">
                                            <a:avLst/>
                                          </a:prstGeom>
                                          <a:noFill/>
                                          <a:ln>
                                            <a:noFill/>
                                          </a:ln>
                                        </pic:spPr>
                                      </pic:pic>
                                    </a:graphicData>
                                  </a:graphic>
                                </wp:inline>
                              </w:drawing>
                            </w:r>
                          </w:p>
                          <w:p w14:paraId="75983F99" w14:textId="2EEAC71E" w:rsidR="008975CB" w:rsidRPr="008975CB" w:rsidRDefault="008975CB" w:rsidP="005D47ED">
                            <w:pPr>
                              <w:rPr>
                                <w:b/>
                                <w:color w:val="465E9C" w:themeColor="text2"/>
                                <w:sz w:val="20"/>
                              </w:rPr>
                            </w:pPr>
                            <w:r w:rsidRPr="008975CB">
                              <w:rPr>
                                <w:b/>
                                <w:color w:val="465E9C" w:themeColor="text2"/>
                                <w:sz w:val="20"/>
                              </w:rPr>
                              <w:t>Figure</w:t>
                            </w:r>
                            <w:r w:rsidR="002E4566">
                              <w:rPr>
                                <w:b/>
                                <w:color w:val="465E9C" w:themeColor="text2"/>
                                <w:sz w:val="20"/>
                              </w:rPr>
                              <w:t xml:space="preserve"> 2</w:t>
                            </w:r>
                            <w:r>
                              <w:rPr>
                                <w:b/>
                                <w:color w:val="465E9C" w:themeColor="text2"/>
                                <w:sz w:val="20"/>
                              </w:rPr>
                              <w:t>:</w:t>
                            </w:r>
                            <w:r w:rsidRPr="008975CB">
                              <w:rPr>
                                <w:b/>
                                <w:color w:val="465E9C" w:themeColor="text2"/>
                                <w:sz w:val="20"/>
                              </w:rPr>
                              <w:t xml:space="preserve"> </w:t>
                            </w:r>
                            <w:r w:rsidRPr="00240211">
                              <w:rPr>
                                <w:b/>
                                <w:i/>
                                <w:color w:val="465E9C" w:themeColor="text2"/>
                                <w:sz w:val="20"/>
                              </w:rPr>
                              <w:t>Cryptosporidium</w:t>
                            </w:r>
                            <w:r w:rsidRPr="008975CB">
                              <w:rPr>
                                <w:b/>
                                <w:color w:val="465E9C" w:themeColor="text2"/>
                                <w:sz w:val="20"/>
                              </w:rPr>
                              <w:t xml:space="preserve"> cases by week of optimal onset, WA, December 2019 – March 2020</w:t>
                            </w:r>
                          </w:p>
                          <w:p w14:paraId="55670C79" w14:textId="77777777" w:rsidR="008D2F70" w:rsidRPr="008D2F70" w:rsidRDefault="008D2F70" w:rsidP="008D2F70">
                            <w:pPr>
                              <w:rPr>
                                <w:b/>
                                <w:color w:val="465E9C" w:themeColor="text2"/>
                                <w:sz w:val="20"/>
                                <w:szCs w:val="20"/>
                              </w:rPr>
                            </w:pPr>
                            <w:r>
                              <w:rPr>
                                <w:b/>
                                <w:color w:val="465E9C" w:themeColor="text2"/>
                                <w:sz w:val="20"/>
                                <w:szCs w:val="20"/>
                              </w:rPr>
                              <w:t>Haemolytic uraemic syndrome</w:t>
                            </w:r>
                            <w:r w:rsidR="00E60B40">
                              <w:rPr>
                                <w:b/>
                                <w:color w:val="465E9C" w:themeColor="text2"/>
                                <w:sz w:val="20"/>
                                <w:szCs w:val="20"/>
                              </w:rPr>
                              <w:t xml:space="preserve"> (HUS)</w:t>
                            </w:r>
                          </w:p>
                          <w:p w14:paraId="6D56620F" w14:textId="734BF756" w:rsidR="008D2F70" w:rsidRPr="00ED02A8" w:rsidRDefault="002E4566" w:rsidP="005D47ED">
                            <w:pPr>
                              <w:rPr>
                                <w:sz w:val="20"/>
                                <w:szCs w:val="20"/>
                              </w:rPr>
                            </w:pPr>
                            <w:r>
                              <w:rPr>
                                <w:sz w:val="20"/>
                                <w:szCs w:val="20"/>
                              </w:rPr>
                              <w:t>Two</w:t>
                            </w:r>
                            <w:r w:rsidR="00E60B40" w:rsidRPr="009834E4">
                              <w:rPr>
                                <w:sz w:val="20"/>
                                <w:szCs w:val="20"/>
                              </w:rPr>
                              <w:t xml:space="preserve"> HUS case</w:t>
                            </w:r>
                            <w:r>
                              <w:rPr>
                                <w:sz w:val="20"/>
                                <w:szCs w:val="20"/>
                              </w:rPr>
                              <w:t>s</w:t>
                            </w:r>
                            <w:r w:rsidR="00E60B40" w:rsidRPr="009834E4">
                              <w:rPr>
                                <w:sz w:val="20"/>
                                <w:szCs w:val="20"/>
                              </w:rPr>
                              <w:t xml:space="preserve"> w</w:t>
                            </w:r>
                            <w:r>
                              <w:rPr>
                                <w:sz w:val="20"/>
                                <w:szCs w:val="20"/>
                              </w:rPr>
                              <w:t>ere</w:t>
                            </w:r>
                            <w:r w:rsidR="008D2F70" w:rsidRPr="009834E4">
                              <w:rPr>
                                <w:sz w:val="20"/>
                                <w:szCs w:val="20"/>
                              </w:rPr>
                              <w:t xml:space="preserve"> notified in </w:t>
                            </w:r>
                            <w:r w:rsidR="00E60B40" w:rsidRPr="009834E4">
                              <w:rPr>
                                <w:sz w:val="20"/>
                                <w:szCs w:val="20"/>
                              </w:rPr>
                              <w:t xml:space="preserve">1Q20. </w:t>
                            </w:r>
                            <w:r>
                              <w:rPr>
                                <w:sz w:val="20"/>
                                <w:szCs w:val="20"/>
                              </w:rPr>
                              <w:t>One</w:t>
                            </w:r>
                            <w:r w:rsidR="009834E4" w:rsidRPr="009834E4">
                              <w:rPr>
                                <w:sz w:val="20"/>
                                <w:szCs w:val="20"/>
                              </w:rPr>
                              <w:t xml:space="preserve"> case was PCR positive for </w:t>
                            </w:r>
                            <w:r w:rsidR="009834E4" w:rsidRPr="00240211">
                              <w:rPr>
                                <w:i/>
                                <w:sz w:val="20"/>
                                <w:szCs w:val="20"/>
                              </w:rPr>
                              <w:t>Shigella</w:t>
                            </w:r>
                            <w:r>
                              <w:rPr>
                                <w:sz w:val="20"/>
                                <w:szCs w:val="20"/>
                              </w:rPr>
                              <w:t>,</w:t>
                            </w:r>
                            <w:r w:rsidR="009834E4" w:rsidRPr="009834E4">
                              <w:rPr>
                                <w:sz w:val="20"/>
                                <w:szCs w:val="20"/>
                              </w:rPr>
                              <w:t xml:space="preserve"> </w:t>
                            </w:r>
                            <w:r>
                              <w:rPr>
                                <w:sz w:val="20"/>
                                <w:szCs w:val="20"/>
                              </w:rPr>
                              <w:t>e</w:t>
                            </w:r>
                            <w:r w:rsidR="009834E4" w:rsidRPr="009834E4">
                              <w:rPr>
                                <w:sz w:val="20"/>
                                <w:szCs w:val="20"/>
                              </w:rPr>
                              <w:t>pi</w:t>
                            </w:r>
                            <w:r w:rsidR="00240211">
                              <w:rPr>
                                <w:sz w:val="20"/>
                                <w:szCs w:val="20"/>
                              </w:rPr>
                              <w:t xml:space="preserve">demiologically </w:t>
                            </w:r>
                            <w:r w:rsidR="009834E4" w:rsidRPr="009834E4">
                              <w:rPr>
                                <w:sz w:val="20"/>
                                <w:szCs w:val="20"/>
                              </w:rPr>
                              <w:t xml:space="preserve">linked to </w:t>
                            </w:r>
                            <w:r w:rsidR="00240211">
                              <w:rPr>
                                <w:sz w:val="20"/>
                                <w:szCs w:val="20"/>
                              </w:rPr>
                              <w:t xml:space="preserve">a case </w:t>
                            </w:r>
                            <w:r w:rsidR="009834E4" w:rsidRPr="009834E4">
                              <w:rPr>
                                <w:sz w:val="20"/>
                                <w:szCs w:val="20"/>
                              </w:rPr>
                              <w:t xml:space="preserve">who was positive for </w:t>
                            </w:r>
                            <w:r w:rsidR="009834E4" w:rsidRPr="009834E4">
                              <w:rPr>
                                <w:i/>
                                <w:sz w:val="20"/>
                                <w:szCs w:val="20"/>
                              </w:rPr>
                              <w:t>Shigella</w:t>
                            </w:r>
                            <w:r w:rsidR="009834E4" w:rsidRPr="009834E4">
                              <w:rPr>
                                <w:sz w:val="20"/>
                                <w:szCs w:val="20"/>
                              </w:rPr>
                              <w:t xml:space="preserve"> </w:t>
                            </w:r>
                            <w:proofErr w:type="spellStart"/>
                            <w:r w:rsidR="00240211" w:rsidRPr="00240211">
                              <w:rPr>
                                <w:i/>
                                <w:sz w:val="20"/>
                                <w:szCs w:val="20"/>
                              </w:rPr>
                              <w:t>f</w:t>
                            </w:r>
                            <w:r w:rsidR="009834E4" w:rsidRPr="00240211">
                              <w:rPr>
                                <w:i/>
                                <w:sz w:val="20"/>
                                <w:szCs w:val="20"/>
                              </w:rPr>
                              <w:t>lexneri</w:t>
                            </w:r>
                            <w:proofErr w:type="spellEnd"/>
                            <w:r w:rsidR="009834E4" w:rsidRPr="00240211">
                              <w:rPr>
                                <w:i/>
                                <w:sz w:val="20"/>
                                <w:szCs w:val="20"/>
                              </w:rPr>
                              <w:t xml:space="preserve"> </w:t>
                            </w:r>
                            <w:r w:rsidR="009834E4" w:rsidRPr="009834E4">
                              <w:rPr>
                                <w:sz w:val="20"/>
                                <w:szCs w:val="20"/>
                              </w:rPr>
                              <w:t>2B.</w:t>
                            </w:r>
                            <w:r>
                              <w:rPr>
                                <w:sz w:val="20"/>
                                <w:szCs w:val="20"/>
                              </w:rPr>
                              <w:t xml:space="preserve"> The second case was culture positive for STEC (serotype O165:H25).</w:t>
                            </w:r>
                          </w:p>
                          <w:p w14:paraId="25FCCD11" w14:textId="77777777" w:rsidR="00E26D2C" w:rsidRPr="00760107" w:rsidRDefault="00E26D2C" w:rsidP="005D47ED">
                            <w:pPr>
                              <w:rPr>
                                <w:b/>
                                <w:sz w:val="20"/>
                                <w:szCs w:val="20"/>
                              </w:rPr>
                            </w:pPr>
                            <w:r w:rsidRPr="002255D7">
                              <w:rPr>
                                <w:b/>
                                <w:color w:val="465E9C" w:themeColor="text2"/>
                                <w:sz w:val="20"/>
                                <w:szCs w:val="20"/>
                              </w:rPr>
                              <w:t xml:space="preserve">Shiga toxin producing </w:t>
                            </w:r>
                            <w:r w:rsidRPr="002255D7">
                              <w:rPr>
                                <w:b/>
                                <w:i/>
                                <w:color w:val="465E9C" w:themeColor="text2"/>
                                <w:sz w:val="20"/>
                                <w:szCs w:val="20"/>
                              </w:rPr>
                              <w:t xml:space="preserve">E. coli </w:t>
                            </w:r>
                            <w:r w:rsidRPr="002255D7">
                              <w:rPr>
                                <w:b/>
                                <w:color w:val="465E9C" w:themeColor="text2"/>
                                <w:sz w:val="20"/>
                                <w:szCs w:val="20"/>
                              </w:rPr>
                              <w:t>(STEC)</w:t>
                            </w:r>
                          </w:p>
                          <w:p w14:paraId="6E53C324" w14:textId="77777777" w:rsidR="0066016D" w:rsidRPr="00942C9D" w:rsidRDefault="00FB777F" w:rsidP="005D47ED">
                            <w:pPr>
                              <w:rPr>
                                <w:sz w:val="20"/>
                                <w:szCs w:val="20"/>
                              </w:rPr>
                            </w:pPr>
                            <w:r w:rsidRPr="009834E4">
                              <w:rPr>
                                <w:sz w:val="20"/>
                                <w:szCs w:val="20"/>
                              </w:rPr>
                              <w:t>Fifteen</w:t>
                            </w:r>
                            <w:r w:rsidR="00C3024C" w:rsidRPr="009834E4">
                              <w:rPr>
                                <w:sz w:val="20"/>
                                <w:szCs w:val="20"/>
                              </w:rPr>
                              <w:t xml:space="preserve"> </w:t>
                            </w:r>
                            <w:r w:rsidR="0044132B" w:rsidRPr="009834E4">
                              <w:rPr>
                                <w:sz w:val="20"/>
                                <w:szCs w:val="20"/>
                              </w:rPr>
                              <w:t>of</w:t>
                            </w:r>
                            <w:r w:rsidR="00C3024C" w:rsidRPr="009834E4">
                              <w:rPr>
                                <w:sz w:val="20"/>
                                <w:szCs w:val="20"/>
                              </w:rPr>
                              <w:t xml:space="preserve"> the</w:t>
                            </w:r>
                            <w:r w:rsidR="0044132B" w:rsidRPr="009834E4">
                              <w:rPr>
                                <w:sz w:val="20"/>
                                <w:szCs w:val="20"/>
                              </w:rPr>
                              <w:t xml:space="preserve"> </w:t>
                            </w:r>
                            <w:r w:rsidRPr="009834E4">
                              <w:rPr>
                                <w:sz w:val="20"/>
                                <w:szCs w:val="20"/>
                              </w:rPr>
                              <w:t>4</w:t>
                            </w:r>
                            <w:r w:rsidR="0044132B" w:rsidRPr="009834E4">
                              <w:rPr>
                                <w:sz w:val="20"/>
                                <w:szCs w:val="20"/>
                              </w:rPr>
                              <w:t>8</w:t>
                            </w:r>
                            <w:r w:rsidR="005D47ED" w:rsidRPr="009834E4">
                              <w:rPr>
                                <w:sz w:val="20"/>
                                <w:szCs w:val="20"/>
                              </w:rPr>
                              <w:t xml:space="preserve"> </w:t>
                            </w:r>
                            <w:r w:rsidR="00C95233" w:rsidRPr="009834E4">
                              <w:rPr>
                                <w:sz w:val="20"/>
                                <w:szCs w:val="20"/>
                              </w:rPr>
                              <w:t>notifications were culture</w:t>
                            </w:r>
                            <w:r w:rsidR="005D47ED" w:rsidRPr="009834E4">
                              <w:rPr>
                                <w:sz w:val="20"/>
                                <w:szCs w:val="20"/>
                              </w:rPr>
                              <w:t xml:space="preserve"> </w:t>
                            </w:r>
                            <w:r w:rsidR="00B90697" w:rsidRPr="009834E4">
                              <w:rPr>
                                <w:sz w:val="20"/>
                                <w:szCs w:val="20"/>
                              </w:rPr>
                              <w:t>positive</w:t>
                            </w:r>
                            <w:r w:rsidR="005D47ED" w:rsidRPr="009834E4">
                              <w:rPr>
                                <w:sz w:val="20"/>
                                <w:szCs w:val="20"/>
                              </w:rPr>
                              <w:t>, the mos</w:t>
                            </w:r>
                            <w:r w:rsidR="00B90697" w:rsidRPr="009834E4">
                              <w:rPr>
                                <w:sz w:val="20"/>
                                <w:szCs w:val="20"/>
                              </w:rPr>
                              <w:t>t common serotype</w:t>
                            </w:r>
                            <w:r w:rsidR="00784309" w:rsidRPr="009834E4">
                              <w:rPr>
                                <w:sz w:val="20"/>
                                <w:szCs w:val="20"/>
                              </w:rPr>
                              <w:t>s</w:t>
                            </w:r>
                            <w:r w:rsidR="00B04133" w:rsidRPr="009834E4">
                              <w:rPr>
                                <w:sz w:val="20"/>
                                <w:szCs w:val="20"/>
                              </w:rPr>
                              <w:t xml:space="preserve"> </w:t>
                            </w:r>
                            <w:r w:rsidR="00B044C2" w:rsidRPr="009834E4">
                              <w:rPr>
                                <w:sz w:val="20"/>
                                <w:szCs w:val="20"/>
                              </w:rPr>
                              <w:t>w</w:t>
                            </w:r>
                            <w:r w:rsidR="00784309" w:rsidRPr="009834E4">
                              <w:rPr>
                                <w:sz w:val="20"/>
                                <w:szCs w:val="20"/>
                              </w:rPr>
                              <w:t>ere</w:t>
                            </w:r>
                            <w:r w:rsidR="00B044C2" w:rsidRPr="009834E4">
                              <w:rPr>
                                <w:sz w:val="20"/>
                                <w:szCs w:val="20"/>
                              </w:rPr>
                              <w:t xml:space="preserve"> O1</w:t>
                            </w:r>
                            <w:r w:rsidR="009834E4" w:rsidRPr="009834E4">
                              <w:rPr>
                                <w:sz w:val="20"/>
                                <w:szCs w:val="20"/>
                              </w:rPr>
                              <w:t>30</w:t>
                            </w:r>
                            <w:r w:rsidR="00D92EE3" w:rsidRPr="009834E4">
                              <w:rPr>
                                <w:sz w:val="20"/>
                                <w:szCs w:val="20"/>
                              </w:rPr>
                              <w:t>:H</w:t>
                            </w:r>
                            <w:r w:rsidR="009834E4" w:rsidRPr="009834E4">
                              <w:rPr>
                                <w:sz w:val="20"/>
                                <w:szCs w:val="20"/>
                              </w:rPr>
                              <w:t>11</w:t>
                            </w:r>
                            <w:r w:rsidR="00760107" w:rsidRPr="009834E4">
                              <w:rPr>
                                <w:sz w:val="20"/>
                                <w:szCs w:val="20"/>
                              </w:rPr>
                              <w:t xml:space="preserve"> (n=</w:t>
                            </w:r>
                            <w:r w:rsidR="009834E4" w:rsidRPr="009834E4">
                              <w:rPr>
                                <w:sz w:val="20"/>
                                <w:szCs w:val="20"/>
                              </w:rPr>
                              <w:t>2</w:t>
                            </w:r>
                            <w:r w:rsidR="00B04133" w:rsidRPr="009834E4">
                              <w:rPr>
                                <w:sz w:val="20"/>
                                <w:szCs w:val="20"/>
                              </w:rPr>
                              <w:t>)</w:t>
                            </w:r>
                            <w:r w:rsidR="00784309" w:rsidRPr="009834E4">
                              <w:rPr>
                                <w:sz w:val="20"/>
                                <w:szCs w:val="20"/>
                              </w:rPr>
                              <w:t xml:space="preserve"> and O1</w:t>
                            </w:r>
                            <w:r w:rsidR="009834E4" w:rsidRPr="009834E4">
                              <w:rPr>
                                <w:sz w:val="20"/>
                                <w:szCs w:val="20"/>
                              </w:rPr>
                              <w:t>65</w:t>
                            </w:r>
                            <w:r w:rsidR="00760107" w:rsidRPr="009834E4">
                              <w:rPr>
                                <w:sz w:val="20"/>
                                <w:szCs w:val="20"/>
                              </w:rPr>
                              <w:t>:H</w:t>
                            </w:r>
                            <w:r w:rsidR="009834E4" w:rsidRPr="009834E4">
                              <w:rPr>
                                <w:sz w:val="20"/>
                                <w:szCs w:val="20"/>
                              </w:rPr>
                              <w:t>25</w:t>
                            </w:r>
                            <w:r w:rsidR="00760107" w:rsidRPr="009834E4">
                              <w:rPr>
                                <w:sz w:val="20"/>
                                <w:szCs w:val="20"/>
                              </w:rPr>
                              <w:t xml:space="preserve"> (n=2</w:t>
                            </w:r>
                            <w:r w:rsidR="00784309" w:rsidRPr="009834E4">
                              <w:rPr>
                                <w:sz w:val="20"/>
                                <w:szCs w:val="20"/>
                              </w:rPr>
                              <w:t>)</w:t>
                            </w:r>
                            <w:r w:rsidR="005D47ED" w:rsidRPr="009834E4">
                              <w:rPr>
                                <w:sz w:val="20"/>
                                <w:szCs w:val="20"/>
                              </w:rPr>
                              <w:t>. No point source outbreaks were identified</w:t>
                            </w:r>
                            <w:r w:rsidR="00D90AC2" w:rsidRPr="009834E4">
                              <w:rPr>
                                <w:sz w:val="20"/>
                                <w:szCs w:val="20"/>
                              </w:rPr>
                              <w:t xml:space="preserve"> in </w:t>
                            </w:r>
                            <w:r w:rsidR="009834E4" w:rsidRPr="009834E4">
                              <w:rPr>
                                <w:sz w:val="20"/>
                                <w:szCs w:val="20"/>
                              </w:rPr>
                              <w:t>1</w:t>
                            </w:r>
                            <w:r w:rsidR="00D90AC2" w:rsidRPr="009834E4">
                              <w:rPr>
                                <w:sz w:val="20"/>
                                <w:szCs w:val="20"/>
                              </w:rPr>
                              <w:t>Q</w:t>
                            </w:r>
                            <w:r w:rsidR="009834E4" w:rsidRPr="009834E4">
                              <w:rPr>
                                <w:sz w:val="20"/>
                                <w:szCs w:val="20"/>
                              </w:rPr>
                              <w:t>20</w:t>
                            </w:r>
                            <w:r w:rsidR="005D47ED" w:rsidRPr="009834E4">
                              <w:rPr>
                                <w:sz w:val="20"/>
                                <w:szCs w:val="20"/>
                              </w:rPr>
                              <w:t xml:space="preserve">. </w:t>
                            </w:r>
                            <w:r w:rsidR="00784309" w:rsidRPr="009834E4">
                              <w:rPr>
                                <w:sz w:val="20"/>
                                <w:szCs w:val="20"/>
                              </w:rPr>
                              <w:t xml:space="preserve">Some of the </w:t>
                            </w:r>
                            <w:r w:rsidR="005D47ED" w:rsidRPr="009834E4">
                              <w:rPr>
                                <w:sz w:val="20"/>
                                <w:szCs w:val="20"/>
                              </w:rPr>
                              <w:t xml:space="preserve">increase is likely due </w:t>
                            </w:r>
                            <w:r w:rsidR="000102D1" w:rsidRPr="009834E4">
                              <w:rPr>
                                <w:sz w:val="20"/>
                                <w:szCs w:val="20"/>
                              </w:rPr>
                              <w:t>to</w:t>
                            </w:r>
                            <w:r w:rsidR="005D47ED" w:rsidRPr="009834E4">
                              <w:rPr>
                                <w:sz w:val="20"/>
                                <w:szCs w:val="20"/>
                              </w:rPr>
                              <w:t xml:space="preserve"> </w:t>
                            </w:r>
                            <w:r w:rsidR="00B90697" w:rsidRPr="009834E4">
                              <w:rPr>
                                <w:sz w:val="20"/>
                                <w:szCs w:val="20"/>
                              </w:rPr>
                              <w:t xml:space="preserve">PCR </w:t>
                            </w:r>
                            <w:r w:rsidR="005D47ED" w:rsidRPr="009834E4">
                              <w:rPr>
                                <w:sz w:val="20"/>
                                <w:szCs w:val="20"/>
                              </w:rPr>
                              <w:t xml:space="preserve">testing </w:t>
                            </w:r>
                            <w:r w:rsidR="009834E4" w:rsidRPr="009834E4">
                              <w:rPr>
                                <w:sz w:val="20"/>
                                <w:szCs w:val="20"/>
                              </w:rPr>
                              <w:t xml:space="preserve">of all faecal specimens </w:t>
                            </w:r>
                            <w:r w:rsidR="005D47ED" w:rsidRPr="009834E4">
                              <w:rPr>
                                <w:sz w:val="20"/>
                                <w:szCs w:val="20"/>
                              </w:rPr>
                              <w:t xml:space="preserve">by one private </w:t>
                            </w:r>
                            <w:r w:rsidR="00B90697" w:rsidRPr="009834E4">
                              <w:rPr>
                                <w:sz w:val="20"/>
                                <w:szCs w:val="20"/>
                              </w:rPr>
                              <w:t>laboratory</w:t>
                            </w:r>
                            <w:r w:rsidR="006414C7" w:rsidRPr="009834E4">
                              <w:rPr>
                                <w:sz w:val="20"/>
                                <w:szCs w:val="20"/>
                              </w:rPr>
                              <w:t xml:space="preserve"> </w:t>
                            </w:r>
                            <w:r w:rsidR="008A1656" w:rsidRPr="009834E4">
                              <w:rPr>
                                <w:sz w:val="20"/>
                                <w:szCs w:val="20"/>
                              </w:rPr>
                              <w:t>since</w:t>
                            </w:r>
                            <w:r w:rsidR="00784309" w:rsidRPr="009834E4">
                              <w:rPr>
                                <w:sz w:val="20"/>
                                <w:szCs w:val="20"/>
                              </w:rPr>
                              <w:t xml:space="preserve"> the fourth quarter</w:t>
                            </w:r>
                            <w:r w:rsidR="006414C7" w:rsidRPr="009834E4">
                              <w:rPr>
                                <w:sz w:val="20"/>
                                <w:szCs w:val="20"/>
                              </w:rPr>
                              <w:t xml:space="preserve"> of</w:t>
                            </w:r>
                            <w:r w:rsidR="00784309" w:rsidRPr="009834E4">
                              <w:rPr>
                                <w:sz w:val="20"/>
                                <w:szCs w:val="20"/>
                              </w:rPr>
                              <w:t xml:space="preserve"> 2018</w:t>
                            </w:r>
                            <w:r w:rsidR="005D47ED" w:rsidRPr="009834E4">
                              <w:rPr>
                                <w:sz w:val="20"/>
                                <w:szCs w:val="20"/>
                              </w:rPr>
                              <w:t>.</w:t>
                            </w:r>
                          </w:p>
                          <w:p w14:paraId="1E721E3D" w14:textId="77777777" w:rsidR="00ED02A8" w:rsidRDefault="00ED02A8" w:rsidP="005D47ED">
                            <w:pPr>
                              <w:rPr>
                                <w:sz w:val="20"/>
                                <w:szCs w:val="20"/>
                              </w:rPr>
                            </w:pPr>
                          </w:p>
                          <w:p w14:paraId="1AFEBBD7" w14:textId="77777777" w:rsidR="00ED02A8" w:rsidRDefault="00ED02A8" w:rsidP="005D47ED">
                            <w:pPr>
                              <w:rPr>
                                <w:sz w:val="20"/>
                                <w:szCs w:val="20"/>
                              </w:rPr>
                            </w:pPr>
                          </w:p>
                          <w:p w14:paraId="3978EAFE" w14:textId="77777777" w:rsidR="00ED02A8" w:rsidRDefault="00ED02A8" w:rsidP="005D47ED">
                            <w:pPr>
                              <w:rPr>
                                <w:color w:val="FF0000"/>
                                <w:sz w:val="20"/>
                                <w:szCs w:val="20"/>
                              </w:rPr>
                            </w:pPr>
                          </w:p>
                          <w:p w14:paraId="6EDBDB7A" w14:textId="77777777" w:rsidR="00600F2C" w:rsidRDefault="00600F2C" w:rsidP="005D47ED">
                            <w:pPr>
                              <w:rPr>
                                <w:color w:val="FF0000"/>
                                <w:sz w:val="20"/>
                                <w:szCs w:val="20"/>
                              </w:rPr>
                            </w:pPr>
                          </w:p>
                          <w:p w14:paraId="037FC2EC" w14:textId="77777777" w:rsidR="00600F2C" w:rsidRPr="00627EBE" w:rsidRDefault="00600F2C" w:rsidP="005D47ED">
                            <w:pPr>
                              <w:rPr>
                                <w:color w:val="FF0000"/>
                                <w:sz w:val="20"/>
                                <w:szCs w:val="20"/>
                              </w:rPr>
                            </w:pPr>
                          </w:p>
                          <w:p w14:paraId="576584EA" w14:textId="77777777" w:rsidR="0064799B" w:rsidRPr="0064799B" w:rsidRDefault="0064799B" w:rsidP="005D47ED">
                            <w:pPr>
                              <w:rPr>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DB853" id="_x0000_s1035" type="#_x0000_t202" style="position:absolute;margin-left:-42.75pt;margin-top:-19.5pt;width:528.25pt;height:5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" fillcolor="#d7dded [671]" stroked="f">
                <v:fill opacity="32896f"/>
                <v:textbox>
                  <w:txbxContent>
                    <w:p w14:paraId="77A417FF" w14:textId="77777777" w:rsidR="009C4DFF" w:rsidRPr="008D2F70" w:rsidRDefault="009C4DFF" w:rsidP="009C4DFF">
                      <w:pPr>
                        <w:rPr>
                          <w:b/>
                          <w:color w:val="465E9C" w:themeColor="text2"/>
                          <w:sz w:val="20"/>
                          <w:szCs w:val="20"/>
                        </w:rPr>
                      </w:pPr>
                      <w:r>
                        <w:rPr>
                          <w:b/>
                          <w:color w:val="465E9C" w:themeColor="text2"/>
                          <w:sz w:val="20"/>
                          <w:szCs w:val="20"/>
                        </w:rPr>
                        <w:t>Cryptosporidiosis</w:t>
                      </w:r>
                    </w:p>
                    <w:p w14:paraId="6D397883" w14:textId="0B50BD09" w:rsidR="008975CB" w:rsidRPr="008975CB" w:rsidRDefault="008975CB" w:rsidP="008975CB">
                      <w:pPr>
                        <w:rPr>
                          <w:sz w:val="20"/>
                          <w:szCs w:val="20"/>
                        </w:rPr>
                      </w:pPr>
                      <w:r>
                        <w:rPr>
                          <w:sz w:val="20"/>
                          <w:szCs w:val="20"/>
                        </w:rPr>
                        <w:t>A large cryptosporidiosis outbreak in the Perth metro area was</w:t>
                      </w:r>
                      <w:r w:rsidRPr="008975CB">
                        <w:rPr>
                          <w:sz w:val="20"/>
                          <w:szCs w:val="20"/>
                        </w:rPr>
                        <w:t xml:space="preserve"> investigated in the </w:t>
                      </w:r>
                      <w:r>
                        <w:rPr>
                          <w:sz w:val="20"/>
                          <w:szCs w:val="20"/>
                        </w:rPr>
                        <w:t>1Q</w:t>
                      </w:r>
                      <w:r w:rsidRPr="008975CB">
                        <w:rPr>
                          <w:sz w:val="20"/>
                          <w:szCs w:val="20"/>
                        </w:rPr>
                        <w:t>20. A total 376 cases were reported with onsets between 1st December</w:t>
                      </w:r>
                      <w:r w:rsidR="00240211">
                        <w:rPr>
                          <w:sz w:val="20"/>
                          <w:szCs w:val="20"/>
                        </w:rPr>
                        <w:t xml:space="preserve"> 2019</w:t>
                      </w:r>
                      <w:r w:rsidRPr="008975CB">
                        <w:rPr>
                          <w:sz w:val="20"/>
                          <w:szCs w:val="20"/>
                        </w:rPr>
                        <w:t xml:space="preserve"> </w:t>
                      </w:r>
                      <w:r w:rsidR="00240211">
                        <w:rPr>
                          <w:sz w:val="20"/>
                          <w:szCs w:val="20"/>
                        </w:rPr>
                        <w:t>and</w:t>
                      </w:r>
                      <w:r w:rsidRPr="008975CB">
                        <w:rPr>
                          <w:sz w:val="20"/>
                          <w:szCs w:val="20"/>
                        </w:rPr>
                        <w:t xml:space="preserve"> 31st March</w:t>
                      </w:r>
                      <w:r w:rsidR="00240211">
                        <w:rPr>
                          <w:sz w:val="20"/>
                          <w:szCs w:val="20"/>
                        </w:rPr>
                        <w:t xml:space="preserve"> 2020</w:t>
                      </w:r>
                      <w:r w:rsidRPr="008975CB">
                        <w:rPr>
                          <w:sz w:val="20"/>
                          <w:szCs w:val="20"/>
                        </w:rPr>
                        <w:t xml:space="preserve">. Under-fives were the most affected age group making up 33% of total cases. Twenty-four cases were hospitalised. Interviews were completed for 158 cases. </w:t>
                      </w:r>
                      <w:r w:rsidR="00240211">
                        <w:rPr>
                          <w:sz w:val="20"/>
                          <w:szCs w:val="20"/>
                        </w:rPr>
                        <w:t>A</w:t>
                      </w:r>
                      <w:r w:rsidRPr="008975CB">
                        <w:rPr>
                          <w:sz w:val="20"/>
                          <w:szCs w:val="20"/>
                        </w:rPr>
                        <w:t>quatic facilities w</w:t>
                      </w:r>
                      <w:r w:rsidR="00240211">
                        <w:rPr>
                          <w:sz w:val="20"/>
                          <w:szCs w:val="20"/>
                        </w:rPr>
                        <w:t>ere</w:t>
                      </w:r>
                      <w:r w:rsidRPr="008975CB">
                        <w:rPr>
                          <w:sz w:val="20"/>
                          <w:szCs w:val="20"/>
                        </w:rPr>
                        <w:t xml:space="preserve"> identified as the major exposure with multiple point source outbreaks detected. </w:t>
                      </w:r>
                    </w:p>
                    <w:p w14:paraId="50D12290" w14:textId="35834C9B" w:rsidR="008975CB" w:rsidRDefault="008975CB" w:rsidP="008975CB">
                      <w:pPr>
                        <w:rPr>
                          <w:sz w:val="20"/>
                          <w:szCs w:val="20"/>
                        </w:rPr>
                      </w:pPr>
                      <w:r w:rsidRPr="008975CB">
                        <w:rPr>
                          <w:sz w:val="20"/>
                          <w:szCs w:val="20"/>
                        </w:rPr>
                        <w:t xml:space="preserve">Of cases interviewed, 58 cases were linked to nine different aquatic facilities. In response a media statement was released urging people who have had diarrhoea not to enter any aquatic facility until at least two weeks after they have fully recovered. Local Government Environmental Health Officers were informed of point source outbreaks at aquatic facilities and followed up to review their records, ensure correct operational procedures were in place and in some cases recommend hyperchlorination. </w:t>
                      </w:r>
                    </w:p>
                    <w:p w14:paraId="0227DA97" w14:textId="3370AC88" w:rsidR="009C4DFF" w:rsidRDefault="008975CB" w:rsidP="008975CB">
                      <w:pPr>
                        <w:rPr>
                          <w:sz w:val="20"/>
                          <w:szCs w:val="20"/>
                          <w:highlight w:val="yellow"/>
                        </w:rPr>
                      </w:pPr>
                      <w:r w:rsidRPr="008975CB">
                        <w:rPr>
                          <w:sz w:val="20"/>
                          <w:szCs w:val="20"/>
                        </w:rPr>
                        <w:t>Due to COVID-19, strict social distancing measures were implemented throughout March which included the closure of all aquatic facilities on the 26th March. There was a marked reduction in cases in March</w:t>
                      </w:r>
                      <w:r w:rsidR="00240211">
                        <w:rPr>
                          <w:sz w:val="20"/>
                          <w:szCs w:val="20"/>
                        </w:rPr>
                        <w:t>,</w:t>
                      </w:r>
                      <w:r w:rsidRPr="008975CB">
                        <w:rPr>
                          <w:sz w:val="20"/>
                          <w:szCs w:val="20"/>
                        </w:rPr>
                        <w:t xml:space="preserve"> effectively ending the outbreak with levels returning close to baseline by the end of April.</w:t>
                      </w:r>
                    </w:p>
                    <w:p w14:paraId="4DF97206" w14:textId="77777777" w:rsidR="008975CB" w:rsidRDefault="00E705C8" w:rsidP="008975CB">
                      <w:pPr>
                        <w:jc w:val="center"/>
                        <w:rPr>
                          <w:sz w:val="20"/>
                          <w:szCs w:val="20"/>
                        </w:rPr>
                      </w:pPr>
                      <w:r w:rsidRPr="00E705C8">
                        <w:rPr>
                          <w:noProof/>
                        </w:rPr>
                        <w:drawing>
                          <wp:inline distT="0" distB="0" distL="0" distR="0" wp14:anchorId="5A05F3BF" wp14:editId="3164C3C0">
                            <wp:extent cx="5848350" cy="245494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5017" cy="2461943"/>
                                    </a:xfrm>
                                    <a:prstGeom prst="rect">
                                      <a:avLst/>
                                    </a:prstGeom>
                                    <a:noFill/>
                                    <a:ln>
                                      <a:noFill/>
                                    </a:ln>
                                  </pic:spPr>
                                </pic:pic>
                              </a:graphicData>
                            </a:graphic>
                          </wp:inline>
                        </w:drawing>
                      </w:r>
                    </w:p>
                    <w:p w14:paraId="75983F99" w14:textId="2EEAC71E" w:rsidR="008975CB" w:rsidRPr="008975CB" w:rsidRDefault="008975CB" w:rsidP="005D47ED">
                      <w:pPr>
                        <w:rPr>
                          <w:b/>
                          <w:color w:val="465E9C" w:themeColor="text2"/>
                          <w:sz w:val="20"/>
                        </w:rPr>
                      </w:pPr>
                      <w:r w:rsidRPr="008975CB">
                        <w:rPr>
                          <w:b/>
                          <w:color w:val="465E9C" w:themeColor="text2"/>
                          <w:sz w:val="20"/>
                        </w:rPr>
                        <w:t>Figure</w:t>
                      </w:r>
                      <w:r w:rsidR="002E4566">
                        <w:rPr>
                          <w:b/>
                          <w:color w:val="465E9C" w:themeColor="text2"/>
                          <w:sz w:val="20"/>
                        </w:rPr>
                        <w:t xml:space="preserve"> 2</w:t>
                      </w:r>
                      <w:r>
                        <w:rPr>
                          <w:b/>
                          <w:color w:val="465E9C" w:themeColor="text2"/>
                          <w:sz w:val="20"/>
                        </w:rPr>
                        <w:t>:</w:t>
                      </w:r>
                      <w:r w:rsidRPr="008975CB">
                        <w:rPr>
                          <w:b/>
                          <w:color w:val="465E9C" w:themeColor="text2"/>
                          <w:sz w:val="20"/>
                        </w:rPr>
                        <w:t xml:space="preserve"> </w:t>
                      </w:r>
                      <w:r w:rsidRPr="00240211">
                        <w:rPr>
                          <w:b/>
                          <w:i/>
                          <w:color w:val="465E9C" w:themeColor="text2"/>
                          <w:sz w:val="20"/>
                        </w:rPr>
                        <w:t>Cryptosporidium</w:t>
                      </w:r>
                      <w:r w:rsidRPr="008975CB">
                        <w:rPr>
                          <w:b/>
                          <w:color w:val="465E9C" w:themeColor="text2"/>
                          <w:sz w:val="20"/>
                        </w:rPr>
                        <w:t xml:space="preserve"> cases by week of optimal onset, WA, December 2019 – March 2020</w:t>
                      </w:r>
                    </w:p>
                    <w:p w14:paraId="55670C79" w14:textId="77777777" w:rsidR="008D2F70" w:rsidRPr="008D2F70" w:rsidRDefault="008D2F70" w:rsidP="008D2F70">
                      <w:pPr>
                        <w:rPr>
                          <w:b/>
                          <w:color w:val="465E9C" w:themeColor="text2"/>
                          <w:sz w:val="20"/>
                          <w:szCs w:val="20"/>
                        </w:rPr>
                      </w:pPr>
                      <w:r>
                        <w:rPr>
                          <w:b/>
                          <w:color w:val="465E9C" w:themeColor="text2"/>
                          <w:sz w:val="20"/>
                          <w:szCs w:val="20"/>
                        </w:rPr>
                        <w:t>Haemolytic uraemic syndrome</w:t>
                      </w:r>
                      <w:r w:rsidR="00E60B40">
                        <w:rPr>
                          <w:b/>
                          <w:color w:val="465E9C" w:themeColor="text2"/>
                          <w:sz w:val="20"/>
                          <w:szCs w:val="20"/>
                        </w:rPr>
                        <w:t xml:space="preserve"> (HUS)</w:t>
                      </w:r>
                    </w:p>
                    <w:p w14:paraId="6D56620F" w14:textId="734BF756" w:rsidR="008D2F70" w:rsidRPr="00ED02A8" w:rsidRDefault="002E4566" w:rsidP="005D47ED">
                      <w:pPr>
                        <w:rPr>
                          <w:sz w:val="20"/>
                          <w:szCs w:val="20"/>
                        </w:rPr>
                      </w:pPr>
                      <w:r>
                        <w:rPr>
                          <w:sz w:val="20"/>
                          <w:szCs w:val="20"/>
                        </w:rPr>
                        <w:t>Two</w:t>
                      </w:r>
                      <w:r w:rsidR="00E60B40" w:rsidRPr="009834E4">
                        <w:rPr>
                          <w:sz w:val="20"/>
                          <w:szCs w:val="20"/>
                        </w:rPr>
                        <w:t xml:space="preserve"> HUS case</w:t>
                      </w:r>
                      <w:r>
                        <w:rPr>
                          <w:sz w:val="20"/>
                          <w:szCs w:val="20"/>
                        </w:rPr>
                        <w:t>s</w:t>
                      </w:r>
                      <w:r w:rsidR="00E60B40" w:rsidRPr="009834E4">
                        <w:rPr>
                          <w:sz w:val="20"/>
                          <w:szCs w:val="20"/>
                        </w:rPr>
                        <w:t xml:space="preserve"> w</w:t>
                      </w:r>
                      <w:r>
                        <w:rPr>
                          <w:sz w:val="20"/>
                          <w:szCs w:val="20"/>
                        </w:rPr>
                        <w:t>ere</w:t>
                      </w:r>
                      <w:r w:rsidR="008D2F70" w:rsidRPr="009834E4">
                        <w:rPr>
                          <w:sz w:val="20"/>
                          <w:szCs w:val="20"/>
                        </w:rPr>
                        <w:t xml:space="preserve"> notified in </w:t>
                      </w:r>
                      <w:r w:rsidR="00E60B40" w:rsidRPr="009834E4">
                        <w:rPr>
                          <w:sz w:val="20"/>
                          <w:szCs w:val="20"/>
                        </w:rPr>
                        <w:t xml:space="preserve">1Q20. </w:t>
                      </w:r>
                      <w:r>
                        <w:rPr>
                          <w:sz w:val="20"/>
                          <w:szCs w:val="20"/>
                        </w:rPr>
                        <w:t>One</w:t>
                      </w:r>
                      <w:r w:rsidR="009834E4" w:rsidRPr="009834E4">
                        <w:rPr>
                          <w:sz w:val="20"/>
                          <w:szCs w:val="20"/>
                        </w:rPr>
                        <w:t xml:space="preserve"> case was PCR positive for </w:t>
                      </w:r>
                      <w:r w:rsidR="009834E4" w:rsidRPr="00240211">
                        <w:rPr>
                          <w:i/>
                          <w:sz w:val="20"/>
                          <w:szCs w:val="20"/>
                        </w:rPr>
                        <w:t>Shigella</w:t>
                      </w:r>
                      <w:r>
                        <w:rPr>
                          <w:sz w:val="20"/>
                          <w:szCs w:val="20"/>
                        </w:rPr>
                        <w:t>,</w:t>
                      </w:r>
                      <w:r w:rsidR="009834E4" w:rsidRPr="009834E4">
                        <w:rPr>
                          <w:sz w:val="20"/>
                          <w:szCs w:val="20"/>
                        </w:rPr>
                        <w:t xml:space="preserve"> </w:t>
                      </w:r>
                      <w:r>
                        <w:rPr>
                          <w:sz w:val="20"/>
                          <w:szCs w:val="20"/>
                        </w:rPr>
                        <w:t>e</w:t>
                      </w:r>
                      <w:r w:rsidR="009834E4" w:rsidRPr="009834E4">
                        <w:rPr>
                          <w:sz w:val="20"/>
                          <w:szCs w:val="20"/>
                        </w:rPr>
                        <w:t>pi</w:t>
                      </w:r>
                      <w:r w:rsidR="00240211">
                        <w:rPr>
                          <w:sz w:val="20"/>
                          <w:szCs w:val="20"/>
                        </w:rPr>
                        <w:t xml:space="preserve">demiologically </w:t>
                      </w:r>
                      <w:r w:rsidR="009834E4" w:rsidRPr="009834E4">
                        <w:rPr>
                          <w:sz w:val="20"/>
                          <w:szCs w:val="20"/>
                        </w:rPr>
                        <w:t xml:space="preserve">linked to </w:t>
                      </w:r>
                      <w:r w:rsidR="00240211">
                        <w:rPr>
                          <w:sz w:val="20"/>
                          <w:szCs w:val="20"/>
                        </w:rPr>
                        <w:t xml:space="preserve">a case </w:t>
                      </w:r>
                      <w:r w:rsidR="009834E4" w:rsidRPr="009834E4">
                        <w:rPr>
                          <w:sz w:val="20"/>
                          <w:szCs w:val="20"/>
                        </w:rPr>
                        <w:t xml:space="preserve">who was positive for </w:t>
                      </w:r>
                      <w:r w:rsidR="009834E4" w:rsidRPr="009834E4">
                        <w:rPr>
                          <w:i/>
                          <w:sz w:val="20"/>
                          <w:szCs w:val="20"/>
                        </w:rPr>
                        <w:t>Shigella</w:t>
                      </w:r>
                      <w:r w:rsidR="009834E4" w:rsidRPr="009834E4">
                        <w:rPr>
                          <w:sz w:val="20"/>
                          <w:szCs w:val="20"/>
                        </w:rPr>
                        <w:t xml:space="preserve"> </w:t>
                      </w:r>
                      <w:proofErr w:type="spellStart"/>
                      <w:r w:rsidR="00240211" w:rsidRPr="00240211">
                        <w:rPr>
                          <w:i/>
                          <w:sz w:val="20"/>
                          <w:szCs w:val="20"/>
                        </w:rPr>
                        <w:t>f</w:t>
                      </w:r>
                      <w:r w:rsidR="009834E4" w:rsidRPr="00240211">
                        <w:rPr>
                          <w:i/>
                          <w:sz w:val="20"/>
                          <w:szCs w:val="20"/>
                        </w:rPr>
                        <w:t>lexneri</w:t>
                      </w:r>
                      <w:proofErr w:type="spellEnd"/>
                      <w:r w:rsidR="009834E4" w:rsidRPr="00240211">
                        <w:rPr>
                          <w:i/>
                          <w:sz w:val="20"/>
                          <w:szCs w:val="20"/>
                        </w:rPr>
                        <w:t xml:space="preserve"> </w:t>
                      </w:r>
                      <w:r w:rsidR="009834E4" w:rsidRPr="009834E4">
                        <w:rPr>
                          <w:sz w:val="20"/>
                          <w:szCs w:val="20"/>
                        </w:rPr>
                        <w:t>2B.</w:t>
                      </w:r>
                      <w:r>
                        <w:rPr>
                          <w:sz w:val="20"/>
                          <w:szCs w:val="20"/>
                        </w:rPr>
                        <w:t xml:space="preserve"> The second case was culture positive for STEC (serotype O165:H25).</w:t>
                      </w:r>
                    </w:p>
                    <w:p w14:paraId="25FCCD11" w14:textId="77777777" w:rsidR="00E26D2C" w:rsidRPr="00760107" w:rsidRDefault="00E26D2C" w:rsidP="005D47ED">
                      <w:pPr>
                        <w:rPr>
                          <w:b/>
                          <w:sz w:val="20"/>
                          <w:szCs w:val="20"/>
                        </w:rPr>
                      </w:pPr>
                      <w:r w:rsidRPr="002255D7">
                        <w:rPr>
                          <w:b/>
                          <w:color w:val="465E9C" w:themeColor="text2"/>
                          <w:sz w:val="20"/>
                          <w:szCs w:val="20"/>
                        </w:rPr>
                        <w:t xml:space="preserve">Shiga toxin producing </w:t>
                      </w:r>
                      <w:r w:rsidRPr="002255D7">
                        <w:rPr>
                          <w:b/>
                          <w:i/>
                          <w:color w:val="465E9C" w:themeColor="text2"/>
                          <w:sz w:val="20"/>
                          <w:szCs w:val="20"/>
                        </w:rPr>
                        <w:t xml:space="preserve">E. coli </w:t>
                      </w:r>
                      <w:r w:rsidRPr="002255D7">
                        <w:rPr>
                          <w:b/>
                          <w:color w:val="465E9C" w:themeColor="text2"/>
                          <w:sz w:val="20"/>
                          <w:szCs w:val="20"/>
                        </w:rPr>
                        <w:t>(STEC)</w:t>
                      </w:r>
                    </w:p>
                    <w:p w14:paraId="6E53C324" w14:textId="77777777" w:rsidR="0066016D" w:rsidRPr="00942C9D" w:rsidRDefault="00FB777F" w:rsidP="005D47ED">
                      <w:pPr>
                        <w:rPr>
                          <w:sz w:val="20"/>
                          <w:szCs w:val="20"/>
                        </w:rPr>
                      </w:pPr>
                      <w:r w:rsidRPr="009834E4">
                        <w:rPr>
                          <w:sz w:val="20"/>
                          <w:szCs w:val="20"/>
                        </w:rPr>
                        <w:t>Fifteen</w:t>
                      </w:r>
                      <w:r w:rsidR="00C3024C" w:rsidRPr="009834E4">
                        <w:rPr>
                          <w:sz w:val="20"/>
                          <w:szCs w:val="20"/>
                        </w:rPr>
                        <w:t xml:space="preserve"> </w:t>
                      </w:r>
                      <w:r w:rsidR="0044132B" w:rsidRPr="009834E4">
                        <w:rPr>
                          <w:sz w:val="20"/>
                          <w:szCs w:val="20"/>
                        </w:rPr>
                        <w:t>of</w:t>
                      </w:r>
                      <w:r w:rsidR="00C3024C" w:rsidRPr="009834E4">
                        <w:rPr>
                          <w:sz w:val="20"/>
                          <w:szCs w:val="20"/>
                        </w:rPr>
                        <w:t xml:space="preserve"> the</w:t>
                      </w:r>
                      <w:r w:rsidR="0044132B" w:rsidRPr="009834E4">
                        <w:rPr>
                          <w:sz w:val="20"/>
                          <w:szCs w:val="20"/>
                        </w:rPr>
                        <w:t xml:space="preserve"> </w:t>
                      </w:r>
                      <w:r w:rsidRPr="009834E4">
                        <w:rPr>
                          <w:sz w:val="20"/>
                          <w:szCs w:val="20"/>
                        </w:rPr>
                        <w:t>4</w:t>
                      </w:r>
                      <w:r w:rsidR="0044132B" w:rsidRPr="009834E4">
                        <w:rPr>
                          <w:sz w:val="20"/>
                          <w:szCs w:val="20"/>
                        </w:rPr>
                        <w:t>8</w:t>
                      </w:r>
                      <w:r w:rsidR="005D47ED" w:rsidRPr="009834E4">
                        <w:rPr>
                          <w:sz w:val="20"/>
                          <w:szCs w:val="20"/>
                        </w:rPr>
                        <w:t xml:space="preserve"> </w:t>
                      </w:r>
                      <w:r w:rsidR="00C95233" w:rsidRPr="009834E4">
                        <w:rPr>
                          <w:sz w:val="20"/>
                          <w:szCs w:val="20"/>
                        </w:rPr>
                        <w:t>notifications were culture</w:t>
                      </w:r>
                      <w:r w:rsidR="005D47ED" w:rsidRPr="009834E4">
                        <w:rPr>
                          <w:sz w:val="20"/>
                          <w:szCs w:val="20"/>
                        </w:rPr>
                        <w:t xml:space="preserve"> </w:t>
                      </w:r>
                      <w:r w:rsidR="00B90697" w:rsidRPr="009834E4">
                        <w:rPr>
                          <w:sz w:val="20"/>
                          <w:szCs w:val="20"/>
                        </w:rPr>
                        <w:t>positive</w:t>
                      </w:r>
                      <w:r w:rsidR="005D47ED" w:rsidRPr="009834E4">
                        <w:rPr>
                          <w:sz w:val="20"/>
                          <w:szCs w:val="20"/>
                        </w:rPr>
                        <w:t>, the mos</w:t>
                      </w:r>
                      <w:r w:rsidR="00B90697" w:rsidRPr="009834E4">
                        <w:rPr>
                          <w:sz w:val="20"/>
                          <w:szCs w:val="20"/>
                        </w:rPr>
                        <w:t>t common serotype</w:t>
                      </w:r>
                      <w:r w:rsidR="00784309" w:rsidRPr="009834E4">
                        <w:rPr>
                          <w:sz w:val="20"/>
                          <w:szCs w:val="20"/>
                        </w:rPr>
                        <w:t>s</w:t>
                      </w:r>
                      <w:r w:rsidR="00B04133" w:rsidRPr="009834E4">
                        <w:rPr>
                          <w:sz w:val="20"/>
                          <w:szCs w:val="20"/>
                        </w:rPr>
                        <w:t xml:space="preserve"> </w:t>
                      </w:r>
                      <w:r w:rsidR="00B044C2" w:rsidRPr="009834E4">
                        <w:rPr>
                          <w:sz w:val="20"/>
                          <w:szCs w:val="20"/>
                        </w:rPr>
                        <w:t>w</w:t>
                      </w:r>
                      <w:r w:rsidR="00784309" w:rsidRPr="009834E4">
                        <w:rPr>
                          <w:sz w:val="20"/>
                          <w:szCs w:val="20"/>
                        </w:rPr>
                        <w:t>ere</w:t>
                      </w:r>
                      <w:r w:rsidR="00B044C2" w:rsidRPr="009834E4">
                        <w:rPr>
                          <w:sz w:val="20"/>
                          <w:szCs w:val="20"/>
                        </w:rPr>
                        <w:t xml:space="preserve"> O1</w:t>
                      </w:r>
                      <w:r w:rsidR="009834E4" w:rsidRPr="009834E4">
                        <w:rPr>
                          <w:sz w:val="20"/>
                          <w:szCs w:val="20"/>
                        </w:rPr>
                        <w:t>30</w:t>
                      </w:r>
                      <w:r w:rsidR="00D92EE3" w:rsidRPr="009834E4">
                        <w:rPr>
                          <w:sz w:val="20"/>
                          <w:szCs w:val="20"/>
                        </w:rPr>
                        <w:t>:H</w:t>
                      </w:r>
                      <w:r w:rsidR="009834E4" w:rsidRPr="009834E4">
                        <w:rPr>
                          <w:sz w:val="20"/>
                          <w:szCs w:val="20"/>
                        </w:rPr>
                        <w:t>11</w:t>
                      </w:r>
                      <w:r w:rsidR="00760107" w:rsidRPr="009834E4">
                        <w:rPr>
                          <w:sz w:val="20"/>
                          <w:szCs w:val="20"/>
                        </w:rPr>
                        <w:t xml:space="preserve"> (n=</w:t>
                      </w:r>
                      <w:r w:rsidR="009834E4" w:rsidRPr="009834E4">
                        <w:rPr>
                          <w:sz w:val="20"/>
                          <w:szCs w:val="20"/>
                        </w:rPr>
                        <w:t>2</w:t>
                      </w:r>
                      <w:r w:rsidR="00B04133" w:rsidRPr="009834E4">
                        <w:rPr>
                          <w:sz w:val="20"/>
                          <w:szCs w:val="20"/>
                        </w:rPr>
                        <w:t>)</w:t>
                      </w:r>
                      <w:r w:rsidR="00784309" w:rsidRPr="009834E4">
                        <w:rPr>
                          <w:sz w:val="20"/>
                          <w:szCs w:val="20"/>
                        </w:rPr>
                        <w:t xml:space="preserve"> and O1</w:t>
                      </w:r>
                      <w:r w:rsidR="009834E4" w:rsidRPr="009834E4">
                        <w:rPr>
                          <w:sz w:val="20"/>
                          <w:szCs w:val="20"/>
                        </w:rPr>
                        <w:t>65</w:t>
                      </w:r>
                      <w:r w:rsidR="00760107" w:rsidRPr="009834E4">
                        <w:rPr>
                          <w:sz w:val="20"/>
                          <w:szCs w:val="20"/>
                        </w:rPr>
                        <w:t>:H</w:t>
                      </w:r>
                      <w:r w:rsidR="009834E4" w:rsidRPr="009834E4">
                        <w:rPr>
                          <w:sz w:val="20"/>
                          <w:szCs w:val="20"/>
                        </w:rPr>
                        <w:t>25</w:t>
                      </w:r>
                      <w:r w:rsidR="00760107" w:rsidRPr="009834E4">
                        <w:rPr>
                          <w:sz w:val="20"/>
                          <w:szCs w:val="20"/>
                        </w:rPr>
                        <w:t xml:space="preserve"> (n=2</w:t>
                      </w:r>
                      <w:r w:rsidR="00784309" w:rsidRPr="009834E4">
                        <w:rPr>
                          <w:sz w:val="20"/>
                          <w:szCs w:val="20"/>
                        </w:rPr>
                        <w:t>)</w:t>
                      </w:r>
                      <w:r w:rsidR="005D47ED" w:rsidRPr="009834E4">
                        <w:rPr>
                          <w:sz w:val="20"/>
                          <w:szCs w:val="20"/>
                        </w:rPr>
                        <w:t>. No point source outbreaks were identified</w:t>
                      </w:r>
                      <w:r w:rsidR="00D90AC2" w:rsidRPr="009834E4">
                        <w:rPr>
                          <w:sz w:val="20"/>
                          <w:szCs w:val="20"/>
                        </w:rPr>
                        <w:t xml:space="preserve"> in </w:t>
                      </w:r>
                      <w:r w:rsidR="009834E4" w:rsidRPr="009834E4">
                        <w:rPr>
                          <w:sz w:val="20"/>
                          <w:szCs w:val="20"/>
                        </w:rPr>
                        <w:t>1</w:t>
                      </w:r>
                      <w:r w:rsidR="00D90AC2" w:rsidRPr="009834E4">
                        <w:rPr>
                          <w:sz w:val="20"/>
                          <w:szCs w:val="20"/>
                        </w:rPr>
                        <w:t>Q</w:t>
                      </w:r>
                      <w:r w:rsidR="009834E4" w:rsidRPr="009834E4">
                        <w:rPr>
                          <w:sz w:val="20"/>
                          <w:szCs w:val="20"/>
                        </w:rPr>
                        <w:t>20</w:t>
                      </w:r>
                      <w:r w:rsidR="005D47ED" w:rsidRPr="009834E4">
                        <w:rPr>
                          <w:sz w:val="20"/>
                          <w:szCs w:val="20"/>
                        </w:rPr>
                        <w:t xml:space="preserve">. </w:t>
                      </w:r>
                      <w:r w:rsidR="00784309" w:rsidRPr="009834E4">
                        <w:rPr>
                          <w:sz w:val="20"/>
                          <w:szCs w:val="20"/>
                        </w:rPr>
                        <w:t xml:space="preserve">Some of the </w:t>
                      </w:r>
                      <w:r w:rsidR="005D47ED" w:rsidRPr="009834E4">
                        <w:rPr>
                          <w:sz w:val="20"/>
                          <w:szCs w:val="20"/>
                        </w:rPr>
                        <w:t xml:space="preserve">increase is likely due </w:t>
                      </w:r>
                      <w:r w:rsidR="000102D1" w:rsidRPr="009834E4">
                        <w:rPr>
                          <w:sz w:val="20"/>
                          <w:szCs w:val="20"/>
                        </w:rPr>
                        <w:t>to</w:t>
                      </w:r>
                      <w:r w:rsidR="005D47ED" w:rsidRPr="009834E4">
                        <w:rPr>
                          <w:sz w:val="20"/>
                          <w:szCs w:val="20"/>
                        </w:rPr>
                        <w:t xml:space="preserve"> </w:t>
                      </w:r>
                      <w:r w:rsidR="00B90697" w:rsidRPr="009834E4">
                        <w:rPr>
                          <w:sz w:val="20"/>
                          <w:szCs w:val="20"/>
                        </w:rPr>
                        <w:t xml:space="preserve">PCR </w:t>
                      </w:r>
                      <w:r w:rsidR="005D47ED" w:rsidRPr="009834E4">
                        <w:rPr>
                          <w:sz w:val="20"/>
                          <w:szCs w:val="20"/>
                        </w:rPr>
                        <w:t xml:space="preserve">testing </w:t>
                      </w:r>
                      <w:r w:rsidR="009834E4" w:rsidRPr="009834E4">
                        <w:rPr>
                          <w:sz w:val="20"/>
                          <w:szCs w:val="20"/>
                        </w:rPr>
                        <w:t xml:space="preserve">of all faecal specimens </w:t>
                      </w:r>
                      <w:r w:rsidR="005D47ED" w:rsidRPr="009834E4">
                        <w:rPr>
                          <w:sz w:val="20"/>
                          <w:szCs w:val="20"/>
                        </w:rPr>
                        <w:t xml:space="preserve">by one private </w:t>
                      </w:r>
                      <w:r w:rsidR="00B90697" w:rsidRPr="009834E4">
                        <w:rPr>
                          <w:sz w:val="20"/>
                          <w:szCs w:val="20"/>
                        </w:rPr>
                        <w:t>laboratory</w:t>
                      </w:r>
                      <w:r w:rsidR="006414C7" w:rsidRPr="009834E4">
                        <w:rPr>
                          <w:sz w:val="20"/>
                          <w:szCs w:val="20"/>
                        </w:rPr>
                        <w:t xml:space="preserve"> </w:t>
                      </w:r>
                      <w:r w:rsidR="008A1656" w:rsidRPr="009834E4">
                        <w:rPr>
                          <w:sz w:val="20"/>
                          <w:szCs w:val="20"/>
                        </w:rPr>
                        <w:t>since</w:t>
                      </w:r>
                      <w:r w:rsidR="00784309" w:rsidRPr="009834E4">
                        <w:rPr>
                          <w:sz w:val="20"/>
                          <w:szCs w:val="20"/>
                        </w:rPr>
                        <w:t xml:space="preserve"> the fourth quarter</w:t>
                      </w:r>
                      <w:r w:rsidR="006414C7" w:rsidRPr="009834E4">
                        <w:rPr>
                          <w:sz w:val="20"/>
                          <w:szCs w:val="20"/>
                        </w:rPr>
                        <w:t xml:space="preserve"> of</w:t>
                      </w:r>
                      <w:r w:rsidR="00784309" w:rsidRPr="009834E4">
                        <w:rPr>
                          <w:sz w:val="20"/>
                          <w:szCs w:val="20"/>
                        </w:rPr>
                        <w:t xml:space="preserve"> 2018</w:t>
                      </w:r>
                      <w:r w:rsidR="005D47ED" w:rsidRPr="009834E4">
                        <w:rPr>
                          <w:sz w:val="20"/>
                          <w:szCs w:val="20"/>
                        </w:rPr>
                        <w:t>.</w:t>
                      </w:r>
                    </w:p>
                    <w:p w14:paraId="1E721E3D" w14:textId="77777777" w:rsidR="00ED02A8" w:rsidRDefault="00ED02A8" w:rsidP="005D47ED">
                      <w:pPr>
                        <w:rPr>
                          <w:sz w:val="20"/>
                          <w:szCs w:val="20"/>
                        </w:rPr>
                      </w:pPr>
                    </w:p>
                    <w:p w14:paraId="1AFEBBD7" w14:textId="77777777" w:rsidR="00ED02A8" w:rsidRDefault="00ED02A8" w:rsidP="005D47ED">
                      <w:pPr>
                        <w:rPr>
                          <w:sz w:val="20"/>
                          <w:szCs w:val="20"/>
                        </w:rPr>
                      </w:pPr>
                    </w:p>
                    <w:p w14:paraId="3978EAFE" w14:textId="77777777" w:rsidR="00ED02A8" w:rsidRDefault="00ED02A8" w:rsidP="005D47ED">
                      <w:pPr>
                        <w:rPr>
                          <w:color w:val="FF0000"/>
                          <w:sz w:val="20"/>
                          <w:szCs w:val="20"/>
                        </w:rPr>
                      </w:pPr>
                    </w:p>
                    <w:p w14:paraId="6EDBDB7A" w14:textId="77777777" w:rsidR="00600F2C" w:rsidRDefault="00600F2C" w:rsidP="005D47ED">
                      <w:pPr>
                        <w:rPr>
                          <w:color w:val="FF0000"/>
                          <w:sz w:val="20"/>
                          <w:szCs w:val="20"/>
                        </w:rPr>
                      </w:pPr>
                    </w:p>
                    <w:p w14:paraId="037FC2EC" w14:textId="77777777" w:rsidR="00600F2C" w:rsidRPr="00627EBE" w:rsidRDefault="00600F2C" w:rsidP="005D47ED">
                      <w:pPr>
                        <w:rPr>
                          <w:color w:val="FF0000"/>
                          <w:sz w:val="20"/>
                          <w:szCs w:val="20"/>
                        </w:rPr>
                      </w:pPr>
                    </w:p>
                    <w:p w14:paraId="576584EA" w14:textId="77777777" w:rsidR="0064799B" w:rsidRPr="0064799B" w:rsidRDefault="0064799B" w:rsidP="005D47ED">
                      <w:pPr>
                        <w:rPr>
                          <w:color w:val="000000" w:themeColor="text1"/>
                          <w:sz w:val="20"/>
                          <w:szCs w:val="20"/>
                        </w:rPr>
                      </w:pPr>
                    </w:p>
                  </w:txbxContent>
                </v:textbox>
              </v:shape>
            </w:pict>
          </mc:Fallback>
        </mc:AlternateContent>
      </w:r>
    </w:p>
    <w:p w14:paraId="092406C8" w14:textId="77777777" w:rsidR="00DB0727" w:rsidRDefault="00DB0727" w:rsidP="00B62E68">
      <w:pPr>
        <w:rPr>
          <w:b/>
          <w:color w:val="FF0000"/>
        </w:rPr>
      </w:pPr>
    </w:p>
    <w:p w14:paraId="4624E5D2" w14:textId="77777777" w:rsidR="00DB0727" w:rsidRPr="00DB0727" w:rsidRDefault="00DB0727" w:rsidP="00DB0727"/>
    <w:p w14:paraId="109187DA" w14:textId="77777777" w:rsidR="00DB0727" w:rsidRPr="00DB0727" w:rsidRDefault="00DB0727" w:rsidP="00DB0727"/>
    <w:p w14:paraId="3A157283" w14:textId="77777777" w:rsidR="00DB0727" w:rsidRDefault="00DB0727" w:rsidP="00DB0727"/>
    <w:p w14:paraId="63D6EDE5" w14:textId="77777777" w:rsidR="00D173B1" w:rsidRPr="00DB0727" w:rsidRDefault="00D173B1" w:rsidP="00DB0727"/>
    <w:p w14:paraId="47715005" w14:textId="77777777" w:rsidR="00DB0727" w:rsidRPr="00DB0727" w:rsidRDefault="00DB0727" w:rsidP="00DB0727"/>
    <w:p w14:paraId="6117A3E2" w14:textId="77777777" w:rsidR="00DB0727" w:rsidRPr="00DB0727" w:rsidRDefault="00DB0727" w:rsidP="00DB0727"/>
    <w:p w14:paraId="62F70DA9" w14:textId="77777777" w:rsidR="00DB0727" w:rsidRPr="00DB0727" w:rsidRDefault="00DB0727" w:rsidP="00DB0727"/>
    <w:p w14:paraId="3AD3F033" w14:textId="77777777" w:rsidR="00DB0727" w:rsidRPr="00DB0727" w:rsidRDefault="00DB0727" w:rsidP="00DB0727"/>
    <w:p w14:paraId="6FB2AC44" w14:textId="77777777" w:rsidR="00DB0727" w:rsidRPr="00DB0727" w:rsidRDefault="00DB0727" w:rsidP="00DB0727"/>
    <w:p w14:paraId="3487A171" w14:textId="77777777" w:rsidR="00DB0727" w:rsidRPr="00DB0727" w:rsidRDefault="00DB0727" w:rsidP="00DB0727"/>
    <w:p w14:paraId="524945E4" w14:textId="77777777" w:rsidR="00DB0727" w:rsidRPr="00DB0727" w:rsidRDefault="00DB0727" w:rsidP="00DB0727"/>
    <w:p w14:paraId="600B0D80" w14:textId="77777777" w:rsidR="00DB0727" w:rsidRPr="00DB0727" w:rsidRDefault="00DB0727" w:rsidP="00DB0727"/>
    <w:p w14:paraId="2311C0E4" w14:textId="77777777" w:rsidR="00DB0727" w:rsidRPr="00DB0727" w:rsidRDefault="00DB0727" w:rsidP="00DB0727"/>
    <w:p w14:paraId="7B21B90D" w14:textId="77777777" w:rsidR="00DB0727" w:rsidRPr="00DB0727" w:rsidRDefault="00DB0727" w:rsidP="00DB0727"/>
    <w:p w14:paraId="57C519D6" w14:textId="77777777" w:rsidR="00DB0727" w:rsidRDefault="00DB0727" w:rsidP="00DB0727"/>
    <w:p w14:paraId="3F7D1928" w14:textId="77777777" w:rsidR="00B0277F" w:rsidRDefault="00B0277F" w:rsidP="00DB0727"/>
    <w:p w14:paraId="3D3AFB62" w14:textId="77777777" w:rsidR="00B0277F" w:rsidRDefault="00B0277F" w:rsidP="00DB0727"/>
    <w:p w14:paraId="1ACAAF01" w14:textId="77777777" w:rsidR="00B0277F" w:rsidRPr="00DB0727" w:rsidRDefault="00B0277F" w:rsidP="00DB0727"/>
    <w:p w14:paraId="6CA86904" w14:textId="77777777" w:rsidR="00DB0727" w:rsidRPr="00DB0727" w:rsidRDefault="00DB0727" w:rsidP="00DB0727"/>
    <w:p w14:paraId="13D1AC60" w14:textId="77777777" w:rsidR="00DB0727" w:rsidRPr="00DB0727" w:rsidRDefault="00DB0727" w:rsidP="00DB0727"/>
    <w:p w14:paraId="6DCEA455" w14:textId="77777777" w:rsidR="00DB0727" w:rsidRPr="00DB0727" w:rsidRDefault="00DB0727" w:rsidP="00DB0727"/>
    <w:p w14:paraId="2B833955" w14:textId="77777777" w:rsidR="00DB0727" w:rsidRPr="00DB0727" w:rsidRDefault="00DB0727" w:rsidP="00DB0727"/>
    <w:p w14:paraId="643B2D72" w14:textId="77777777" w:rsidR="00DB0727" w:rsidRPr="00DB0727" w:rsidRDefault="00DB0727" w:rsidP="00DB0727"/>
    <w:p w14:paraId="4D4B57C3" w14:textId="77777777" w:rsidR="00DB0727" w:rsidRPr="00DB0727" w:rsidRDefault="00DB0727" w:rsidP="00DB0727"/>
    <w:p w14:paraId="5E72BC83" w14:textId="77777777" w:rsidR="00DB0727" w:rsidRPr="00DB0727" w:rsidRDefault="00DB0727" w:rsidP="00DB0727"/>
    <w:p w14:paraId="72B6E446" w14:textId="77777777" w:rsidR="00DB0727" w:rsidRPr="00DB0727" w:rsidRDefault="00DB0727" w:rsidP="00DB0727"/>
    <w:p w14:paraId="6D6046D7" w14:textId="77777777" w:rsidR="00DB0727" w:rsidRDefault="00DB0727" w:rsidP="00DB0727"/>
    <w:p w14:paraId="218A9839" w14:textId="77777777" w:rsidR="00DB0727" w:rsidRDefault="00DB0727" w:rsidP="00DB0727"/>
    <w:p w14:paraId="5CFE8EC2" w14:textId="77777777" w:rsidR="005D47ED" w:rsidRPr="00DB0727" w:rsidRDefault="00DB0727" w:rsidP="00DB0727">
      <w:pPr>
        <w:tabs>
          <w:tab w:val="left" w:pos="1753"/>
        </w:tabs>
      </w:pPr>
      <w:r>
        <w:tab/>
      </w:r>
    </w:p>
    <w:sectPr w:rsidR="005D47ED" w:rsidRPr="00DB07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987AB" w14:textId="77777777" w:rsidR="00F16266" w:rsidRDefault="00F16266" w:rsidP="00F16266">
      <w:pPr>
        <w:spacing w:after="0"/>
      </w:pPr>
      <w:r>
        <w:separator/>
      </w:r>
    </w:p>
  </w:endnote>
  <w:endnote w:type="continuationSeparator" w:id="0">
    <w:p w14:paraId="5C3669F7" w14:textId="77777777" w:rsidR="00F16266" w:rsidRDefault="00F16266" w:rsidP="00F162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9AE23" w14:textId="77777777" w:rsidR="00F16266" w:rsidRDefault="00F16266" w:rsidP="00F16266">
      <w:pPr>
        <w:spacing w:after="0"/>
      </w:pPr>
      <w:r>
        <w:separator/>
      </w:r>
    </w:p>
  </w:footnote>
  <w:footnote w:type="continuationSeparator" w:id="0">
    <w:p w14:paraId="6E650084" w14:textId="77777777" w:rsidR="00F16266" w:rsidRDefault="00F16266" w:rsidP="00F162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1C32"/>
    <w:multiLevelType w:val="hybridMultilevel"/>
    <w:tmpl w:val="10D4FB6A"/>
    <w:lvl w:ilvl="0" w:tplc="EDB003E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2D1603"/>
    <w:multiLevelType w:val="hybridMultilevel"/>
    <w:tmpl w:val="2D30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7D402E"/>
    <w:multiLevelType w:val="hybridMultilevel"/>
    <w:tmpl w:val="AF889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FDA023"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6F0"/>
    <w:rsid w:val="000102D1"/>
    <w:rsid w:val="00070BEF"/>
    <w:rsid w:val="00090F48"/>
    <w:rsid w:val="0009316F"/>
    <w:rsid w:val="000A14BB"/>
    <w:rsid w:val="0012565F"/>
    <w:rsid w:val="0014114D"/>
    <w:rsid w:val="001437E0"/>
    <w:rsid w:val="00143F9C"/>
    <w:rsid w:val="00171B7B"/>
    <w:rsid w:val="00171EAF"/>
    <w:rsid w:val="001B7A2B"/>
    <w:rsid w:val="001C6153"/>
    <w:rsid w:val="001C7D1F"/>
    <w:rsid w:val="001F6030"/>
    <w:rsid w:val="001F68E9"/>
    <w:rsid w:val="00220E8F"/>
    <w:rsid w:val="002255D7"/>
    <w:rsid w:val="00230C04"/>
    <w:rsid w:val="00240211"/>
    <w:rsid w:val="0024249E"/>
    <w:rsid w:val="00243C14"/>
    <w:rsid w:val="00256108"/>
    <w:rsid w:val="00261678"/>
    <w:rsid w:val="00276AC9"/>
    <w:rsid w:val="002848B3"/>
    <w:rsid w:val="002856CA"/>
    <w:rsid w:val="00286B46"/>
    <w:rsid w:val="002A1586"/>
    <w:rsid w:val="002C7D7D"/>
    <w:rsid w:val="002E4566"/>
    <w:rsid w:val="002E49F5"/>
    <w:rsid w:val="002F24A7"/>
    <w:rsid w:val="00311B5E"/>
    <w:rsid w:val="00316213"/>
    <w:rsid w:val="003352B9"/>
    <w:rsid w:val="00355004"/>
    <w:rsid w:val="003929E7"/>
    <w:rsid w:val="0041266A"/>
    <w:rsid w:val="004175D4"/>
    <w:rsid w:val="004230AE"/>
    <w:rsid w:val="004276EA"/>
    <w:rsid w:val="0044132B"/>
    <w:rsid w:val="004453BF"/>
    <w:rsid w:val="00447A73"/>
    <w:rsid w:val="004659B0"/>
    <w:rsid w:val="00466DB9"/>
    <w:rsid w:val="00471692"/>
    <w:rsid w:val="00492250"/>
    <w:rsid w:val="004A609E"/>
    <w:rsid w:val="004C104B"/>
    <w:rsid w:val="004C2780"/>
    <w:rsid w:val="004C6976"/>
    <w:rsid w:val="00507189"/>
    <w:rsid w:val="005077EF"/>
    <w:rsid w:val="0056716B"/>
    <w:rsid w:val="005A3015"/>
    <w:rsid w:val="005A409E"/>
    <w:rsid w:val="005D47ED"/>
    <w:rsid w:val="00600F2C"/>
    <w:rsid w:val="0061606C"/>
    <w:rsid w:val="00627EBE"/>
    <w:rsid w:val="00630370"/>
    <w:rsid w:val="0064090A"/>
    <w:rsid w:val="006414C7"/>
    <w:rsid w:val="00641DA6"/>
    <w:rsid w:val="006441F7"/>
    <w:rsid w:val="0064799B"/>
    <w:rsid w:val="0066016D"/>
    <w:rsid w:val="006E46C4"/>
    <w:rsid w:val="006F36F0"/>
    <w:rsid w:val="006F52D0"/>
    <w:rsid w:val="00712477"/>
    <w:rsid w:val="00732A7B"/>
    <w:rsid w:val="007548BA"/>
    <w:rsid w:val="00760107"/>
    <w:rsid w:val="0077027C"/>
    <w:rsid w:val="00784309"/>
    <w:rsid w:val="007A4E48"/>
    <w:rsid w:val="007B47D8"/>
    <w:rsid w:val="007D7512"/>
    <w:rsid w:val="007D793C"/>
    <w:rsid w:val="007F410D"/>
    <w:rsid w:val="00802EC3"/>
    <w:rsid w:val="008449C2"/>
    <w:rsid w:val="0087065F"/>
    <w:rsid w:val="00875139"/>
    <w:rsid w:val="00881846"/>
    <w:rsid w:val="008975CB"/>
    <w:rsid w:val="00897837"/>
    <w:rsid w:val="008979F5"/>
    <w:rsid w:val="008A1656"/>
    <w:rsid w:val="008B0432"/>
    <w:rsid w:val="008C56B7"/>
    <w:rsid w:val="008D2F70"/>
    <w:rsid w:val="008F7FE4"/>
    <w:rsid w:val="0090046F"/>
    <w:rsid w:val="0090693F"/>
    <w:rsid w:val="00923EA3"/>
    <w:rsid w:val="00926467"/>
    <w:rsid w:val="00930DF8"/>
    <w:rsid w:val="00931BD5"/>
    <w:rsid w:val="009342F3"/>
    <w:rsid w:val="00937EBD"/>
    <w:rsid w:val="00942C9D"/>
    <w:rsid w:val="009668ED"/>
    <w:rsid w:val="00967444"/>
    <w:rsid w:val="00981DA1"/>
    <w:rsid w:val="009834E4"/>
    <w:rsid w:val="00984F8D"/>
    <w:rsid w:val="00990D6C"/>
    <w:rsid w:val="00995323"/>
    <w:rsid w:val="009B36C8"/>
    <w:rsid w:val="009C0445"/>
    <w:rsid w:val="009C4DAD"/>
    <w:rsid w:val="009C4DFF"/>
    <w:rsid w:val="009D1723"/>
    <w:rsid w:val="009F648B"/>
    <w:rsid w:val="00A40760"/>
    <w:rsid w:val="00A45954"/>
    <w:rsid w:val="00A54379"/>
    <w:rsid w:val="00A55B71"/>
    <w:rsid w:val="00A6066D"/>
    <w:rsid w:val="00A85810"/>
    <w:rsid w:val="00A868F6"/>
    <w:rsid w:val="00A91C4C"/>
    <w:rsid w:val="00AA22A0"/>
    <w:rsid w:val="00AA663C"/>
    <w:rsid w:val="00AB4670"/>
    <w:rsid w:val="00AC2225"/>
    <w:rsid w:val="00AD53B6"/>
    <w:rsid w:val="00B0277F"/>
    <w:rsid w:val="00B04133"/>
    <w:rsid w:val="00B044C2"/>
    <w:rsid w:val="00B15A8E"/>
    <w:rsid w:val="00B266CE"/>
    <w:rsid w:val="00B35461"/>
    <w:rsid w:val="00B533A7"/>
    <w:rsid w:val="00B62E68"/>
    <w:rsid w:val="00B81B87"/>
    <w:rsid w:val="00B822B0"/>
    <w:rsid w:val="00B85270"/>
    <w:rsid w:val="00B90697"/>
    <w:rsid w:val="00BB2332"/>
    <w:rsid w:val="00BB48D3"/>
    <w:rsid w:val="00BB5682"/>
    <w:rsid w:val="00BD41EB"/>
    <w:rsid w:val="00BE1F4C"/>
    <w:rsid w:val="00BE3C2D"/>
    <w:rsid w:val="00BE45C1"/>
    <w:rsid w:val="00BE50E9"/>
    <w:rsid w:val="00BF4F31"/>
    <w:rsid w:val="00C3024C"/>
    <w:rsid w:val="00C37C4B"/>
    <w:rsid w:val="00C47BA2"/>
    <w:rsid w:val="00C53645"/>
    <w:rsid w:val="00C6252C"/>
    <w:rsid w:val="00C7143D"/>
    <w:rsid w:val="00C862D8"/>
    <w:rsid w:val="00C94695"/>
    <w:rsid w:val="00C95233"/>
    <w:rsid w:val="00CF64E2"/>
    <w:rsid w:val="00D034A9"/>
    <w:rsid w:val="00D050EF"/>
    <w:rsid w:val="00D147D4"/>
    <w:rsid w:val="00D173B1"/>
    <w:rsid w:val="00D514D4"/>
    <w:rsid w:val="00D54D2E"/>
    <w:rsid w:val="00D723C4"/>
    <w:rsid w:val="00D90AC2"/>
    <w:rsid w:val="00D92EE3"/>
    <w:rsid w:val="00D9301F"/>
    <w:rsid w:val="00DB0727"/>
    <w:rsid w:val="00DC7646"/>
    <w:rsid w:val="00DE4BFE"/>
    <w:rsid w:val="00DE7A17"/>
    <w:rsid w:val="00E065B7"/>
    <w:rsid w:val="00E26BEA"/>
    <w:rsid w:val="00E26D2C"/>
    <w:rsid w:val="00E40563"/>
    <w:rsid w:val="00E47483"/>
    <w:rsid w:val="00E60B40"/>
    <w:rsid w:val="00E705C8"/>
    <w:rsid w:val="00E7296E"/>
    <w:rsid w:val="00E82708"/>
    <w:rsid w:val="00E842C2"/>
    <w:rsid w:val="00E8491C"/>
    <w:rsid w:val="00E95736"/>
    <w:rsid w:val="00EB6ED6"/>
    <w:rsid w:val="00ED02A8"/>
    <w:rsid w:val="00EE1546"/>
    <w:rsid w:val="00EE383C"/>
    <w:rsid w:val="00EE6AEC"/>
    <w:rsid w:val="00F03551"/>
    <w:rsid w:val="00F16266"/>
    <w:rsid w:val="00F25D18"/>
    <w:rsid w:val="00F51AF5"/>
    <w:rsid w:val="00FB1467"/>
    <w:rsid w:val="00FB2D91"/>
    <w:rsid w:val="00FB7719"/>
    <w:rsid w:val="00FB777F"/>
    <w:rsid w:val="00FF0D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CDFE6"/>
  <w15:docId w15:val="{3D5CB51F-2D7A-4FFA-BF52-E56E76F27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2"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F16266"/>
    <w:pPr>
      <w:spacing w:after="170" w:line="240" w:lineRule="auto"/>
    </w:pPr>
    <w:rPr>
      <w:rFonts w:ascii="Arial" w:hAnsi="Arial"/>
      <w:sz w:val="24"/>
    </w:rPr>
  </w:style>
  <w:style w:type="paragraph" w:styleId="Heading1">
    <w:name w:val="heading 1"/>
    <w:basedOn w:val="Normal"/>
    <w:next w:val="Normal"/>
    <w:link w:val="Heading1Char"/>
    <w:uiPriority w:val="9"/>
    <w:qFormat/>
    <w:rsid w:val="00171B7B"/>
    <w:pPr>
      <w:keepNext/>
      <w:keepLines/>
      <w:spacing w:after="120"/>
      <w:outlineLvl w:val="0"/>
    </w:pPr>
    <w:rPr>
      <w:rFonts w:eastAsiaTheme="majorEastAsia" w:cstheme="majorBidi"/>
      <w:b/>
      <w:bCs/>
      <w:color w:val="FDA023" w:themeColor="accent1"/>
      <w:sz w:val="40"/>
      <w:szCs w:val="28"/>
    </w:rPr>
  </w:style>
  <w:style w:type="paragraph" w:styleId="Heading2">
    <w:name w:val="heading 2"/>
    <w:basedOn w:val="Normal"/>
    <w:next w:val="Normal"/>
    <w:link w:val="Heading2Char"/>
    <w:uiPriority w:val="9"/>
    <w:qFormat/>
    <w:rsid w:val="00171B7B"/>
    <w:pPr>
      <w:keepNext/>
      <w:keepLines/>
      <w:spacing w:before="240" w:after="60"/>
      <w:outlineLvl w:val="1"/>
    </w:pPr>
    <w:rPr>
      <w:rFonts w:eastAsiaTheme="majorEastAsia" w:cstheme="majorBidi"/>
      <w:b/>
      <w:bCs/>
      <w:color w:val="FDA023" w:themeColor="accent1"/>
      <w:sz w:val="28"/>
      <w:szCs w:val="26"/>
    </w:rPr>
  </w:style>
  <w:style w:type="paragraph" w:styleId="Heading3">
    <w:name w:val="heading 3"/>
    <w:basedOn w:val="Normal"/>
    <w:next w:val="Normal"/>
    <w:link w:val="Heading3Char"/>
    <w:uiPriority w:val="9"/>
    <w:qFormat/>
    <w:rsid w:val="00171B7B"/>
    <w:pPr>
      <w:keepNext/>
      <w:keepLines/>
      <w:spacing w:before="240" w:after="60"/>
      <w:outlineLvl w:val="2"/>
    </w:pPr>
    <w:rPr>
      <w:rFonts w:eastAsiaTheme="majorEastAsia" w:cstheme="majorBidi"/>
      <w:b/>
      <w:bCs/>
      <w:color w:val="465E9C" w:themeColor="text2"/>
      <w:sz w:val="26"/>
    </w:rPr>
  </w:style>
  <w:style w:type="paragraph" w:styleId="Heading4">
    <w:name w:val="heading 4"/>
    <w:basedOn w:val="Normal"/>
    <w:next w:val="Normal"/>
    <w:link w:val="Heading4Char"/>
    <w:uiPriority w:val="9"/>
    <w:qFormat/>
    <w:rsid w:val="00171B7B"/>
    <w:pPr>
      <w:keepNext/>
      <w:keepLines/>
      <w:spacing w:before="240" w:after="60"/>
      <w:outlineLvl w:val="3"/>
    </w:pPr>
    <w:rPr>
      <w:rFonts w:eastAsiaTheme="majorEastAsia" w:cstheme="majorBidi"/>
      <w:b/>
      <w:bCs/>
      <w:iCs/>
      <w:color w:val="465E9C" w:themeColor="text2"/>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heme="majorEastAsia" w:cstheme="majorBidi"/>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91C4C"/>
    <w:rPr>
      <w:rFonts w:ascii="Arial" w:eastAsiaTheme="majorEastAsia" w:hAnsi="Arial" w:cstheme="majorBidi"/>
      <w:color w:val="000000" w:themeColor="text1"/>
      <w:sz w:val="24"/>
    </w:rPr>
  </w:style>
  <w:style w:type="paragraph" w:customStyle="1" w:styleId="Headlines">
    <w:name w:val="Headlines"/>
    <w:basedOn w:val="Normal"/>
    <w:next w:val="Subheadlines"/>
    <w:qFormat/>
    <w:rsid w:val="004C2780"/>
    <w:pPr>
      <w:spacing w:before="240" w:after="660"/>
    </w:pPr>
    <w:rPr>
      <w:b/>
      <w:color w:val="000000" w:themeColor="text1"/>
      <w:sz w:val="60"/>
    </w:rPr>
  </w:style>
  <w:style w:type="paragraph" w:customStyle="1" w:styleId="Subheadlines">
    <w:name w:val="Sub headlines"/>
    <w:basedOn w:val="Normal"/>
    <w:next w:val="Normal"/>
    <w:qFormat/>
    <w:rsid w:val="00171B7B"/>
    <w:rPr>
      <w:b/>
      <w:color w:val="000000" w:themeColor="text1"/>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basedOn w:val="DefaultParagraphFont"/>
    <w:link w:val="Heading1"/>
    <w:uiPriority w:val="9"/>
    <w:rsid w:val="00171B7B"/>
    <w:rPr>
      <w:rFonts w:ascii="Arial" w:eastAsiaTheme="majorEastAsia" w:hAnsi="Arial" w:cstheme="majorBidi"/>
      <w:b/>
      <w:bCs/>
      <w:color w:val="FDA023" w:themeColor="accent1"/>
      <w:sz w:val="40"/>
      <w:szCs w:val="28"/>
    </w:rPr>
  </w:style>
  <w:style w:type="character" w:customStyle="1" w:styleId="Heading2Char">
    <w:name w:val="Heading 2 Char"/>
    <w:basedOn w:val="DefaultParagraphFont"/>
    <w:link w:val="Heading2"/>
    <w:uiPriority w:val="9"/>
    <w:rsid w:val="00171B7B"/>
    <w:rPr>
      <w:rFonts w:ascii="Arial" w:eastAsiaTheme="majorEastAsia" w:hAnsi="Arial" w:cstheme="majorBidi"/>
      <w:b/>
      <w:bCs/>
      <w:color w:val="FDA023" w:themeColor="accent1"/>
      <w:sz w:val="28"/>
      <w:szCs w:val="26"/>
    </w:rPr>
  </w:style>
  <w:style w:type="character" w:customStyle="1" w:styleId="Heading3Char">
    <w:name w:val="Heading 3 Char"/>
    <w:basedOn w:val="DefaultParagraphFont"/>
    <w:link w:val="Heading3"/>
    <w:uiPriority w:val="9"/>
    <w:rsid w:val="00171B7B"/>
    <w:rPr>
      <w:rFonts w:ascii="Arial" w:eastAsiaTheme="majorEastAsia" w:hAnsi="Arial" w:cstheme="majorBidi"/>
      <w:b/>
      <w:bCs/>
      <w:color w:val="465E9C" w:themeColor="text2"/>
      <w:sz w:val="26"/>
    </w:rPr>
  </w:style>
  <w:style w:type="character" w:customStyle="1" w:styleId="Heading4Char">
    <w:name w:val="Heading 4 Char"/>
    <w:basedOn w:val="DefaultParagraphFont"/>
    <w:link w:val="Heading4"/>
    <w:uiPriority w:val="9"/>
    <w:rsid w:val="00171B7B"/>
    <w:rPr>
      <w:rFonts w:ascii="Arial" w:eastAsiaTheme="majorEastAsia" w:hAnsi="Arial" w:cstheme="majorBidi"/>
      <w:b/>
      <w:bCs/>
      <w:iCs/>
      <w:color w:val="465E9C" w:themeColor="text2"/>
      <w:sz w:val="24"/>
    </w:rPr>
  </w:style>
  <w:style w:type="paragraph" w:styleId="TOCHeading">
    <w:name w:val="TOC Heading"/>
    <w:basedOn w:val="Heading1"/>
    <w:next w:val="Normal"/>
    <w:uiPriority w:val="39"/>
    <w:semiHidden/>
    <w:unhideWhenUsed/>
    <w:qFormat/>
    <w:rsid w:val="00981DA1"/>
    <w:pPr>
      <w:spacing w:before="480" w:after="0" w:line="276" w:lineRule="auto"/>
      <w:outlineLvl w:val="9"/>
    </w:pPr>
    <w:rPr>
      <w:rFonts w:asciiTheme="majorHAnsi" w:hAnsiTheme="majorHAnsi"/>
      <w:color w:val="D57B02" w:themeColor="accent1" w:themeShade="BF"/>
      <w:sz w:val="28"/>
      <w:lang w:val="en-US" w:eastAsia="ja-JP"/>
    </w:rPr>
  </w:style>
  <w:style w:type="paragraph" w:styleId="TOC1">
    <w:name w:val="toc 1"/>
    <w:basedOn w:val="Normal"/>
    <w:next w:val="Normal"/>
    <w:autoRedefine/>
    <w:uiPriority w:val="39"/>
    <w:rsid w:val="00DE4BFE"/>
    <w:pPr>
      <w:spacing w:after="100"/>
    </w:pPr>
    <w:rPr>
      <w:b/>
      <w:color w:val="000000" w:themeColor="text1"/>
    </w:rPr>
  </w:style>
  <w:style w:type="paragraph" w:styleId="TOC2">
    <w:name w:val="toc 2"/>
    <w:basedOn w:val="Normal"/>
    <w:next w:val="Normal"/>
    <w:autoRedefine/>
    <w:uiPriority w:val="39"/>
    <w:rsid w:val="00171B7B"/>
    <w:pPr>
      <w:spacing w:after="100"/>
      <w:ind w:left="240"/>
    </w:pPr>
    <w:rPr>
      <w:color w:val="000000" w:themeColor="text1"/>
    </w:rPr>
  </w:style>
  <w:style w:type="paragraph" w:styleId="TOC3">
    <w:name w:val="toc 3"/>
    <w:basedOn w:val="Normal"/>
    <w:next w:val="Normal"/>
    <w:autoRedefine/>
    <w:uiPriority w:val="39"/>
    <w:rsid w:val="00DE4BFE"/>
    <w:pPr>
      <w:spacing w:after="100"/>
      <w:ind w:left="480"/>
    </w:pPr>
    <w:rPr>
      <w:color w:val="000000" w:themeColor="text1"/>
    </w:rPr>
  </w:style>
  <w:style w:type="character" w:styleId="Hyperlink">
    <w:name w:val="Hyperlink"/>
    <w:basedOn w:val="DefaultParagraphFont"/>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1DA1"/>
    <w:rPr>
      <w:rFonts w:ascii="Tahoma" w:hAnsi="Tahoma" w:cs="Tahoma"/>
      <w:sz w:val="16"/>
      <w:szCs w:val="16"/>
    </w:rPr>
  </w:style>
  <w:style w:type="character" w:customStyle="1" w:styleId="Heading6Char">
    <w:name w:val="Heading 6 Char"/>
    <w:basedOn w:val="DefaultParagraphFont"/>
    <w:link w:val="Heading6"/>
    <w:uiPriority w:val="9"/>
    <w:semiHidden/>
    <w:rsid w:val="00A91C4C"/>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A91C4C"/>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A91C4C"/>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A91C4C"/>
    <w:rPr>
      <w:rFonts w:ascii="Arial" w:eastAsiaTheme="majorEastAsia" w:hAnsi="Arial" w:cstheme="majorBidi"/>
      <w:i/>
      <w:iCs/>
      <w:color w:val="000000" w:themeColor="text1"/>
      <w:sz w:val="24"/>
      <w:szCs w:val="20"/>
    </w:rPr>
  </w:style>
  <w:style w:type="table" w:styleId="TableGrid">
    <w:name w:val="Table Grid"/>
    <w:basedOn w:val="TableNormal"/>
    <w:uiPriority w:val="59"/>
    <w:rsid w:val="001F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FDA023" w:themeColor="accent1"/>
          <w:left w:val="nil"/>
          <w:bottom w:val="single" w:sz="8" w:space="0" w:color="FDA023" w:themeColor="accent1"/>
          <w:right w:val="nil"/>
          <w:insideH w:val="nil"/>
          <w:insideV w:val="nil"/>
        </w:tcBorders>
      </w:tcPr>
    </w:tblStylePr>
    <w:tblStylePr w:type="lastRow">
      <w:pPr>
        <w:spacing w:before="0" w:after="0" w:line="240" w:lineRule="auto"/>
      </w:pPr>
      <w:rPr>
        <w:b/>
        <w:bCs/>
      </w:rPr>
      <w:tblPr/>
      <w:tcPr>
        <w:tcBorders>
          <w:top w:val="single" w:sz="8" w:space="0" w:color="FDA023" w:themeColor="accent1"/>
          <w:left w:val="nil"/>
          <w:bottom w:val="single" w:sz="8" w:space="0" w:color="FDA0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1" w:themeFillTint="3F"/>
      </w:tcPr>
    </w:tblStylePr>
    <w:tblStylePr w:type="band1Horz">
      <w:tblPr/>
      <w:tcPr>
        <w:tcBorders>
          <w:left w:val="nil"/>
          <w:right w:val="nil"/>
          <w:insideH w:val="nil"/>
          <w:insideV w:val="nil"/>
        </w:tcBorders>
        <w:shd w:val="clear" w:color="auto" w:fill="AA2B1E" w:themeFill="accent2"/>
      </w:tcPr>
    </w:tblStylePr>
  </w:style>
  <w:style w:type="table" w:styleId="LightList-Accent1">
    <w:name w:val="Light List Accent 1"/>
    <w:basedOn w:val="TableNormal"/>
    <w:uiPriority w:val="61"/>
    <w:rsid w:val="001F68E9"/>
    <w:pPr>
      <w:spacing w:after="0" w:line="240" w:lineRule="auto"/>
    </w:p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tblBorders>
    </w:tblPr>
    <w:tblStylePr w:type="firstRow">
      <w:pPr>
        <w:spacing w:before="0" w:after="0" w:line="240" w:lineRule="auto"/>
      </w:pPr>
      <w:rPr>
        <w:b/>
        <w:bCs/>
        <w:color w:val="FFFFFF" w:themeColor="background1"/>
      </w:rPr>
      <w:tbl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table" w:styleId="LightShading-Accent1">
    <w:name w:val="Light Shading Accent 1"/>
    <w:basedOn w:val="TableNormal"/>
    <w:uiPriority w:val="60"/>
    <w:rsid w:val="001F68E9"/>
    <w:pPr>
      <w:spacing w:after="0" w:line="240" w:lineRule="auto"/>
    </w:pPr>
    <w:rPr>
      <w:color w:val="D57B02" w:themeColor="accent1" w:themeShade="BF"/>
    </w:rPr>
    <w:tblPr>
      <w:tblStyleRowBandSize w:val="1"/>
      <w:tblStyleColBandSize w:val="1"/>
      <w:tblBorders>
        <w:top w:val="single" w:sz="8" w:space="0" w:color="FDA023" w:themeColor="accent1"/>
        <w:bottom w:val="single" w:sz="8" w:space="0" w:color="FDA023" w:themeColor="accent1"/>
      </w:tblBorders>
    </w:tblPr>
    <w:tblStylePr w:type="firstRow">
      <w:pPr>
        <w:spacing w:before="0" w:after="0" w:line="240" w:lineRule="auto"/>
      </w:pPr>
      <w:rPr>
        <w:b/>
        <w:bCs/>
      </w:rPr>
      <w:tblPr/>
      <w:tcPr>
        <w:tcBorders>
          <w:top w:val="single" w:sz="8" w:space="0" w:color="FDA023" w:themeColor="accent1"/>
          <w:left w:val="nil"/>
          <w:bottom w:val="single" w:sz="8" w:space="0" w:color="FDA023" w:themeColor="accent1"/>
          <w:right w:val="nil"/>
          <w:insideH w:val="nil"/>
          <w:insideV w:val="nil"/>
        </w:tcBorders>
      </w:tcPr>
    </w:tblStylePr>
    <w:tblStylePr w:type="lastRow">
      <w:pPr>
        <w:spacing w:before="0" w:after="0" w:line="240" w:lineRule="auto"/>
      </w:pPr>
      <w:rPr>
        <w:b/>
        <w:bCs/>
      </w:rPr>
      <w:tblPr/>
      <w:tcPr>
        <w:tcBorders>
          <w:top w:val="single" w:sz="8" w:space="0" w:color="FDA023" w:themeColor="accent1"/>
          <w:left w:val="nil"/>
          <w:bottom w:val="single" w:sz="8" w:space="0" w:color="FDA0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7C8" w:themeFill="accent1" w:themeFillTint="3F"/>
      </w:tcPr>
    </w:tblStylePr>
    <w:tblStylePr w:type="band1Horz">
      <w:tblPr/>
      <w:tcPr>
        <w:tcBorders>
          <w:left w:val="nil"/>
          <w:right w:val="nil"/>
          <w:insideH w:val="nil"/>
          <w:insideV w:val="nil"/>
        </w:tcBorders>
        <w:shd w:val="clear" w:color="auto" w:fill="FEE7C8" w:themeFill="accent1" w:themeFillTint="3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shd w:val="clear" w:color="auto" w:fill="FDA023" w:themeFill="accent1"/>
      </w:tcPr>
    </w:tblStylePr>
    <w:tblStylePr w:type="lastRow">
      <w:pPr>
        <w:spacing w:before="0" w:after="0" w:line="240" w:lineRule="auto"/>
      </w:pPr>
      <w:rPr>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tcBorders>
      </w:tcPr>
    </w:tblStylePr>
    <w:tblStylePr w:type="firstCol">
      <w:rPr>
        <w:b/>
        <w:bCs/>
      </w:rPr>
    </w:tblStylePr>
    <w:tblStylePr w:type="lastCol">
      <w:rPr>
        <w:b/>
        <w:bCs/>
      </w:r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style>
  <w:style w:type="table" w:styleId="LightGrid-Accent1">
    <w:name w:val="Light Grid Accent 1"/>
    <w:basedOn w:val="TableNormal"/>
    <w:uiPriority w:val="62"/>
    <w:rsid w:val="001F68E9"/>
    <w:pPr>
      <w:spacing w:after="0" w:line="240" w:lineRule="auto"/>
    </w:p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insideH w:val="single" w:sz="8" w:space="0" w:color="FDA023" w:themeColor="accent1"/>
        <w:insideV w:val="single" w:sz="8" w:space="0" w:color="FDA02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18" w:space="0" w:color="FDA023" w:themeColor="accent1"/>
          <w:right w:val="single" w:sz="8" w:space="0" w:color="FDA023" w:themeColor="accent1"/>
          <w:insideH w:val="nil"/>
          <w:insideV w:val="single" w:sz="8" w:space="0" w:color="FDA0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insideH w:val="nil"/>
          <w:insideV w:val="single" w:sz="8" w:space="0" w:color="FDA0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shd w:val="clear" w:color="auto" w:fill="FEE7C8" w:themeFill="accent1" w:themeFillTint="3F"/>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shd w:val="clear" w:color="auto" w:fill="FEE7C8" w:themeFill="accent1" w:themeFillTint="3F"/>
      </w:tcPr>
    </w:tblStylePr>
    <w:tblStylePr w:type="band2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FDA023" w:themeColor="accent1"/>
          <w:left w:val="single" w:sz="8" w:space="0" w:color="FDA023" w:themeColor="accent1"/>
          <w:bottom w:val="single" w:sz="18" w:space="0" w:color="FDA023" w:themeColor="accent1"/>
          <w:right w:val="single" w:sz="8" w:space="0" w:color="FDA023" w:themeColor="accent1"/>
          <w:insideH w:val="nil"/>
          <w:insideV w:val="single" w:sz="8" w:space="0" w:color="FDA02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A023" w:themeColor="accent1"/>
          <w:left w:val="single" w:sz="8" w:space="0" w:color="FDA023" w:themeColor="accent1"/>
          <w:bottom w:val="single" w:sz="8" w:space="0" w:color="FDA023" w:themeColor="accent1"/>
          <w:right w:val="single" w:sz="8" w:space="0" w:color="FDA023" w:themeColor="accent1"/>
          <w:insideH w:val="nil"/>
          <w:insideV w:val="single" w:sz="8" w:space="0" w:color="FDA02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tcPr>
    </w:tblStylePr>
    <w:tblStylePr w:type="band1Vert">
      <w:tblPr/>
      <w:tcPr>
        <w:tcBorders>
          <w:top w:val="single" w:sz="8" w:space="0" w:color="FDA023" w:themeColor="accent1"/>
          <w:left w:val="single" w:sz="8" w:space="0" w:color="FDA023" w:themeColor="accent1"/>
          <w:bottom w:val="single" w:sz="8" w:space="0" w:color="FDA023" w:themeColor="accent1"/>
          <w:right w:val="single" w:sz="8" w:space="0" w:color="FDA023" w:themeColor="accent1"/>
        </w:tcBorders>
        <w:shd w:val="clear" w:color="auto" w:fill="FEE7C8" w:themeFill="accent1" w:themeFillTint="3F"/>
      </w:tcPr>
    </w:tblStylePr>
    <w:tblStylePr w:type="band1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shd w:val="clear" w:color="auto" w:fill="AA2B1E" w:themeFill="accent2"/>
      </w:tcPr>
    </w:tblStylePr>
    <w:tblStylePr w:type="band2Horz">
      <w:tblPr/>
      <w:tcPr>
        <w:tcBorders>
          <w:top w:val="single" w:sz="8" w:space="0" w:color="FDA023" w:themeColor="accent1"/>
          <w:left w:val="single" w:sz="8" w:space="0" w:color="FDA023" w:themeColor="accent1"/>
          <w:bottom w:val="single" w:sz="8" w:space="0" w:color="FDA023" w:themeColor="accent1"/>
          <w:right w:val="single" w:sz="8" w:space="0" w:color="FDA023" w:themeColor="accent1"/>
          <w:insideV w:val="single" w:sz="8" w:space="0" w:color="FDA023" w:themeColor="accent1"/>
        </w:tcBorders>
      </w:tcPr>
    </w:tblStylePr>
  </w:style>
  <w:style w:type="table" w:styleId="MediumShading1-Accent1">
    <w:name w:val="Medium Shading 1 Accent 1"/>
    <w:basedOn w:val="TableNormal"/>
    <w:uiPriority w:val="63"/>
    <w:rsid w:val="001F68E9"/>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tblBorders>
    </w:tblPr>
    <w:tblStylePr w:type="firstRow">
      <w:pPr>
        <w:spacing w:before="0" w:after="0" w:line="240" w:lineRule="auto"/>
      </w:pPr>
      <w:rPr>
        <w:b/>
        <w:bCs/>
        <w:color w:val="FFFFFF" w:themeColor="background1"/>
      </w:rPr>
      <w:tbl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EE7C8"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AA2B1E" w:themeFill="accent2"/>
      </w:tcPr>
    </w:tblStylePr>
  </w:style>
  <w:style w:type="table" w:styleId="MediumList1-Accent1">
    <w:name w:val="Medium List 1 Accent 1"/>
    <w:basedOn w:val="TableNormal"/>
    <w:uiPriority w:val="65"/>
    <w:rsid w:val="001F68E9"/>
    <w:pPr>
      <w:spacing w:after="0" w:line="240" w:lineRule="auto"/>
    </w:pPr>
    <w:rPr>
      <w:color w:val="000000" w:themeColor="text1"/>
    </w:rPr>
    <w:tblPr>
      <w:tblStyleRowBandSize w:val="1"/>
      <w:tblStyleColBandSize w:val="1"/>
      <w:tblBorders>
        <w:top w:val="single" w:sz="8" w:space="0" w:color="FDA023" w:themeColor="accent1"/>
        <w:bottom w:val="single" w:sz="8" w:space="0" w:color="FDA023" w:themeColor="accent1"/>
      </w:tblBorders>
    </w:tblPr>
    <w:tblStylePr w:type="firstRow">
      <w:rPr>
        <w:rFonts w:asciiTheme="majorHAnsi" w:eastAsiaTheme="majorEastAsia" w:hAnsiTheme="majorHAnsi" w:cstheme="majorBidi"/>
      </w:rPr>
      <w:tblPr/>
      <w:tcPr>
        <w:tcBorders>
          <w:top w:val="nil"/>
          <w:bottom w:val="single" w:sz="8" w:space="0" w:color="FDA023" w:themeColor="accent1"/>
        </w:tcBorders>
      </w:tcPr>
    </w:tblStylePr>
    <w:tblStylePr w:type="lastRow">
      <w:rPr>
        <w:b/>
        <w:bCs/>
        <w:color w:val="465E9C" w:themeColor="text2"/>
      </w:rPr>
      <w:tblPr/>
      <w:tcPr>
        <w:tcBorders>
          <w:top w:val="single" w:sz="8" w:space="0" w:color="FDA023" w:themeColor="accent1"/>
          <w:bottom w:val="single" w:sz="8" w:space="0" w:color="FDA023" w:themeColor="accent1"/>
        </w:tcBorders>
      </w:tcPr>
    </w:tblStylePr>
    <w:tblStylePr w:type="firstCol">
      <w:rPr>
        <w:b/>
        <w:bCs/>
      </w:rPr>
    </w:tblStylePr>
    <w:tblStylePr w:type="lastCol">
      <w:rPr>
        <w:b/>
        <w:bCs/>
      </w:rPr>
      <w:tblPr/>
      <w:tcPr>
        <w:tcBorders>
          <w:top w:val="single" w:sz="8" w:space="0" w:color="FDA023" w:themeColor="accent1"/>
          <w:bottom w:val="single" w:sz="8" w:space="0" w:color="FDA023" w:themeColor="accent1"/>
        </w:tcBorders>
      </w:tcPr>
    </w:tblStylePr>
    <w:tblStylePr w:type="band1Vert">
      <w:tblPr/>
      <w:tcPr>
        <w:shd w:val="clear" w:color="auto" w:fill="FEE7C8" w:themeFill="accent1" w:themeFillTint="3F"/>
      </w:tcPr>
    </w:tblStylePr>
    <w:tblStylePr w:type="band1Horz">
      <w:tblPr/>
      <w:tcPr>
        <w:shd w:val="clear" w:color="auto" w:fill="FEE7C8" w:themeFill="accent1" w:themeFillTint="3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FDA023" w:themeColor="accent1"/>
        </w:tcBorders>
      </w:tcPr>
    </w:tblStylePr>
    <w:tblStylePr w:type="lastRow">
      <w:rPr>
        <w:b/>
        <w:bCs/>
        <w:color w:val="465E9C" w:themeColor="text2"/>
      </w:rPr>
      <w:tblPr/>
      <w:tcPr>
        <w:tcBorders>
          <w:top w:val="single" w:sz="8" w:space="0" w:color="FDA023" w:themeColor="accent1"/>
          <w:bottom w:val="single" w:sz="8" w:space="0" w:color="FDA023" w:themeColor="accent1"/>
        </w:tcBorders>
      </w:tcPr>
    </w:tblStylePr>
    <w:tblStylePr w:type="firstCol">
      <w:rPr>
        <w:b/>
        <w:bCs/>
      </w:rPr>
    </w:tblStylePr>
    <w:tblStylePr w:type="lastCol">
      <w:rPr>
        <w:b/>
        <w:bCs/>
      </w:rPr>
      <w:tblPr/>
      <w:tcPr>
        <w:tcBorders>
          <w:top w:val="single" w:sz="8" w:space="0" w:color="FDA023" w:themeColor="accent1"/>
          <w:bottom w:val="single" w:sz="8" w:space="0" w:color="FDA023" w:themeColor="accent1"/>
        </w:tcBorders>
      </w:tcPr>
    </w:tblStylePr>
    <w:tblStylePr w:type="band1Vert">
      <w:tblPr/>
      <w:tcPr>
        <w:shd w:val="clear" w:color="auto" w:fill="FEE7C8" w:themeFill="accent1" w:themeFillTint="3F"/>
      </w:tcPr>
    </w:tblStylePr>
    <w:tblStylePr w:type="band1Horz">
      <w:tblPr/>
      <w:tcPr>
        <w:shd w:val="clear" w:color="auto" w:fill="AA2B1E" w:themeFill="accent2"/>
      </w:tcPr>
    </w:tblStylePr>
  </w:style>
  <w:style w:type="table" w:customStyle="1" w:styleId="WAHealthTable7">
    <w:name w:val="WA Health Table 7"/>
    <w:basedOn w:val="LightList"/>
    <w:uiPriority w:val="99"/>
    <w:rsid w:val="00930DF8"/>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930DF8"/>
    <w:rPr>
      <w:rFonts w:ascii="Arial" w:hAnsi="Arial"/>
      <w:sz w:val="24"/>
      <w:szCs w:val="20"/>
      <w:lang w:eastAsia="en-AU"/>
    </w:rPr>
    <w:tblPr/>
    <w:tblStylePr w:type="firstRow">
      <w:rPr>
        <w:sz w:val="24"/>
        <w:szCs w:val="24"/>
      </w:rPr>
      <w:tblPr/>
      <w:trPr>
        <w:tblHeader/>
      </w:trPr>
      <w:tcPr>
        <w:tcBorders>
          <w:top w:val="nil"/>
          <w:left w:val="nil"/>
          <w:bottom w:val="single" w:sz="24" w:space="0" w:color="FDA023" w:themeColor="accent1"/>
          <w:right w:val="nil"/>
          <w:insideH w:val="nil"/>
          <w:insideV w:val="nil"/>
        </w:tcBorders>
        <w:shd w:val="clear" w:color="auto" w:fill="FFFFFF" w:themeFill="background1"/>
      </w:tcPr>
    </w:tblStylePr>
    <w:tblStylePr w:type="lastRow">
      <w:tblPr/>
      <w:tcPr>
        <w:tcBorders>
          <w:top w:val="single" w:sz="8" w:space="0" w:color="FDA02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A023" w:themeColor="accent1"/>
          <w:insideH w:val="nil"/>
          <w:insideV w:val="nil"/>
        </w:tcBorders>
        <w:shd w:val="clear" w:color="auto" w:fill="FFFFFF" w:themeFill="background1"/>
      </w:tcPr>
    </w:tblStylePr>
    <w:tblStylePr w:type="lastCol">
      <w:tblPr/>
      <w:tcPr>
        <w:tcBorders>
          <w:top w:val="nil"/>
          <w:left w:val="single" w:sz="8" w:space="0" w:color="FDA02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7C8" w:themeFill="accent1" w:themeFillTint="3F"/>
      </w:tcPr>
    </w:tblStylePr>
    <w:tblStylePr w:type="band1Horz">
      <w:tblPr/>
      <w:tcPr>
        <w:tcBorders>
          <w:top w:val="nil"/>
          <w:bottom w:val="nil"/>
          <w:insideH w:val="nil"/>
          <w:insideV w:val="nil"/>
        </w:tcBorders>
        <w:shd w:val="clear" w:color="auto" w:fill="AA2B1E"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E40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E40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A023" w:themeColor="accent1"/>
        <w:left w:val="single" w:sz="8" w:space="0" w:color="FDA023" w:themeColor="accent1"/>
        <w:bottom w:val="single" w:sz="8" w:space="0" w:color="FDA023" w:themeColor="accent1"/>
        <w:right w:val="single" w:sz="8" w:space="0" w:color="FDA023" w:themeColor="accent1"/>
      </w:tblBorders>
    </w:tblPr>
    <w:tblStylePr w:type="firstRow">
      <w:rPr>
        <w:sz w:val="24"/>
        <w:szCs w:val="24"/>
      </w:rPr>
      <w:tblPr/>
      <w:tcPr>
        <w:tcBorders>
          <w:top w:val="nil"/>
          <w:left w:val="nil"/>
          <w:bottom w:val="single" w:sz="24" w:space="0" w:color="FDA023" w:themeColor="accent1"/>
          <w:right w:val="nil"/>
          <w:insideH w:val="nil"/>
          <w:insideV w:val="nil"/>
        </w:tcBorders>
        <w:shd w:val="clear" w:color="auto" w:fill="FFFFFF" w:themeFill="background1"/>
      </w:tcPr>
    </w:tblStylePr>
    <w:tblStylePr w:type="lastRow">
      <w:tblPr/>
      <w:tcPr>
        <w:tcBorders>
          <w:top w:val="single" w:sz="8" w:space="0" w:color="FDA02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A023" w:themeColor="accent1"/>
          <w:insideH w:val="nil"/>
          <w:insideV w:val="nil"/>
        </w:tcBorders>
        <w:shd w:val="clear" w:color="auto" w:fill="FFFFFF" w:themeFill="background1"/>
      </w:tcPr>
    </w:tblStylePr>
    <w:tblStylePr w:type="lastCol">
      <w:tblPr/>
      <w:tcPr>
        <w:tcBorders>
          <w:top w:val="nil"/>
          <w:left w:val="single" w:sz="8" w:space="0" w:color="FDA02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7C8" w:themeFill="accent1" w:themeFillTint="3F"/>
      </w:tcPr>
    </w:tblStylePr>
    <w:tblStylePr w:type="band1Horz">
      <w:tblPr/>
      <w:tcPr>
        <w:tcBorders>
          <w:top w:val="nil"/>
          <w:bottom w:val="nil"/>
          <w:insideH w:val="nil"/>
          <w:insideV w:val="nil"/>
        </w:tcBorders>
        <w:shd w:val="clear" w:color="auto" w:fill="FEE7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6F36F0"/>
    <w:pPr>
      <w:spacing w:before="100" w:beforeAutospacing="1" w:after="100" w:afterAutospacing="1"/>
    </w:pPr>
    <w:rPr>
      <w:rFonts w:ascii="Times New Roman" w:eastAsiaTheme="minorEastAsia" w:hAnsi="Times New Roman" w:cs="Times New Roman"/>
      <w:szCs w:val="24"/>
      <w:lang w:eastAsia="en-AU"/>
    </w:rPr>
  </w:style>
  <w:style w:type="paragraph" w:styleId="Header">
    <w:name w:val="header"/>
    <w:basedOn w:val="Normal"/>
    <w:link w:val="HeaderChar"/>
    <w:uiPriority w:val="99"/>
    <w:semiHidden/>
    <w:rsid w:val="00F16266"/>
    <w:pPr>
      <w:tabs>
        <w:tab w:val="center" w:pos="4513"/>
        <w:tab w:val="right" w:pos="9026"/>
      </w:tabs>
      <w:spacing w:after="0"/>
    </w:pPr>
  </w:style>
  <w:style w:type="character" w:customStyle="1" w:styleId="HeaderChar">
    <w:name w:val="Header Char"/>
    <w:basedOn w:val="DefaultParagraphFont"/>
    <w:link w:val="Header"/>
    <w:uiPriority w:val="99"/>
    <w:semiHidden/>
    <w:rsid w:val="00F16266"/>
    <w:rPr>
      <w:rFonts w:ascii="Arial" w:hAnsi="Arial"/>
      <w:sz w:val="24"/>
    </w:rPr>
  </w:style>
  <w:style w:type="paragraph" w:styleId="Footer">
    <w:name w:val="footer"/>
    <w:basedOn w:val="Normal"/>
    <w:link w:val="FooterChar"/>
    <w:uiPriority w:val="99"/>
    <w:semiHidden/>
    <w:rsid w:val="00F16266"/>
    <w:pPr>
      <w:tabs>
        <w:tab w:val="center" w:pos="4513"/>
        <w:tab w:val="right" w:pos="9026"/>
      </w:tabs>
      <w:spacing w:after="0"/>
    </w:pPr>
  </w:style>
  <w:style w:type="character" w:customStyle="1" w:styleId="FooterChar">
    <w:name w:val="Footer Char"/>
    <w:basedOn w:val="DefaultParagraphFont"/>
    <w:link w:val="Footer"/>
    <w:uiPriority w:val="99"/>
    <w:semiHidden/>
    <w:rsid w:val="00F16266"/>
    <w:rPr>
      <w:rFonts w:ascii="Arial" w:hAnsi="Arial"/>
      <w:sz w:val="24"/>
    </w:rPr>
  </w:style>
  <w:style w:type="character" w:styleId="CommentReference">
    <w:name w:val="annotation reference"/>
    <w:basedOn w:val="DefaultParagraphFont"/>
    <w:uiPriority w:val="99"/>
    <w:semiHidden/>
    <w:rsid w:val="00F16266"/>
    <w:rPr>
      <w:sz w:val="16"/>
      <w:szCs w:val="16"/>
    </w:rPr>
  </w:style>
  <w:style w:type="paragraph" w:styleId="CommentText">
    <w:name w:val="annotation text"/>
    <w:basedOn w:val="Normal"/>
    <w:link w:val="CommentTextChar"/>
    <w:uiPriority w:val="99"/>
    <w:semiHidden/>
    <w:rsid w:val="00F16266"/>
    <w:rPr>
      <w:sz w:val="20"/>
      <w:szCs w:val="20"/>
    </w:rPr>
  </w:style>
  <w:style w:type="character" w:customStyle="1" w:styleId="CommentTextChar">
    <w:name w:val="Comment Text Char"/>
    <w:basedOn w:val="DefaultParagraphFont"/>
    <w:link w:val="CommentText"/>
    <w:uiPriority w:val="99"/>
    <w:semiHidden/>
    <w:rsid w:val="00F16266"/>
    <w:rPr>
      <w:rFonts w:ascii="Arial" w:hAnsi="Arial"/>
      <w:sz w:val="20"/>
      <w:szCs w:val="20"/>
    </w:rPr>
  </w:style>
  <w:style w:type="paragraph" w:styleId="CommentSubject">
    <w:name w:val="annotation subject"/>
    <w:basedOn w:val="CommentText"/>
    <w:next w:val="CommentText"/>
    <w:link w:val="CommentSubjectChar"/>
    <w:uiPriority w:val="99"/>
    <w:semiHidden/>
    <w:rsid w:val="00F16266"/>
    <w:rPr>
      <w:b/>
      <w:bCs/>
    </w:rPr>
  </w:style>
  <w:style w:type="character" w:customStyle="1" w:styleId="CommentSubjectChar">
    <w:name w:val="Comment Subject Char"/>
    <w:basedOn w:val="CommentTextChar"/>
    <w:link w:val="CommentSubject"/>
    <w:uiPriority w:val="99"/>
    <w:semiHidden/>
    <w:rsid w:val="00F16266"/>
    <w:rPr>
      <w:rFonts w:ascii="Arial" w:hAnsi="Arial"/>
      <w:b/>
      <w:bCs/>
      <w:sz w:val="20"/>
      <w:szCs w:val="20"/>
    </w:rPr>
  </w:style>
  <w:style w:type="paragraph" w:styleId="Caption">
    <w:name w:val="caption"/>
    <w:basedOn w:val="Normal"/>
    <w:next w:val="Normal"/>
    <w:qFormat/>
    <w:rsid w:val="005D47ED"/>
    <w:pPr>
      <w:spacing w:after="0" w:line="360" w:lineRule="auto"/>
    </w:pPr>
    <w:rPr>
      <w:rFonts w:eastAsia="Cambria" w:cs="Times New Roman"/>
      <w:b/>
      <w:szCs w:val="20"/>
    </w:rPr>
  </w:style>
  <w:style w:type="character" w:styleId="FollowedHyperlink">
    <w:name w:val="FollowedHyperlink"/>
    <w:basedOn w:val="DefaultParagraphFont"/>
    <w:uiPriority w:val="99"/>
    <w:semiHidden/>
    <w:rsid w:val="00E842C2"/>
    <w:rPr>
      <w:color w:val="ED7D27" w:themeColor="followedHyperlink"/>
      <w:u w:val="single"/>
    </w:rPr>
  </w:style>
  <w:style w:type="character" w:styleId="UnresolvedMention">
    <w:name w:val="Unresolved Mention"/>
    <w:basedOn w:val="DefaultParagraphFont"/>
    <w:uiPriority w:val="99"/>
    <w:semiHidden/>
    <w:unhideWhenUsed/>
    <w:rsid w:val="00732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733269">
      <w:bodyDiv w:val="1"/>
      <w:marLeft w:val="0"/>
      <w:marRight w:val="0"/>
      <w:marTop w:val="0"/>
      <w:marBottom w:val="0"/>
      <w:divBdr>
        <w:top w:val="none" w:sz="0" w:space="0" w:color="auto"/>
        <w:left w:val="none" w:sz="0" w:space="0" w:color="auto"/>
        <w:bottom w:val="none" w:sz="0" w:space="0" w:color="auto"/>
        <w:right w:val="none" w:sz="0" w:space="0" w:color="auto"/>
      </w:divBdr>
    </w:div>
    <w:div w:id="595359388">
      <w:bodyDiv w:val="1"/>
      <w:marLeft w:val="0"/>
      <w:marRight w:val="0"/>
      <w:marTop w:val="0"/>
      <w:marBottom w:val="0"/>
      <w:divBdr>
        <w:top w:val="none" w:sz="0" w:space="0" w:color="auto"/>
        <w:left w:val="none" w:sz="0" w:space="0" w:color="auto"/>
        <w:bottom w:val="none" w:sz="0" w:space="0" w:color="auto"/>
        <w:right w:val="none" w:sz="0" w:space="0" w:color="auto"/>
      </w:divBdr>
    </w:div>
    <w:div w:id="1045065858">
      <w:bodyDiv w:val="1"/>
      <w:marLeft w:val="0"/>
      <w:marRight w:val="0"/>
      <w:marTop w:val="0"/>
      <w:marBottom w:val="0"/>
      <w:divBdr>
        <w:top w:val="none" w:sz="0" w:space="0" w:color="auto"/>
        <w:left w:val="none" w:sz="0" w:space="0" w:color="auto"/>
        <w:bottom w:val="none" w:sz="0" w:space="0" w:color="auto"/>
        <w:right w:val="none" w:sz="0" w:space="0" w:color="auto"/>
      </w:divBdr>
    </w:div>
    <w:div w:id="1133403623">
      <w:bodyDiv w:val="1"/>
      <w:marLeft w:val="0"/>
      <w:marRight w:val="0"/>
      <w:marTop w:val="0"/>
      <w:marBottom w:val="0"/>
      <w:divBdr>
        <w:top w:val="none" w:sz="0" w:space="0" w:color="auto"/>
        <w:left w:val="none" w:sz="0" w:space="0" w:color="auto"/>
        <w:bottom w:val="none" w:sz="0" w:space="0" w:color="auto"/>
        <w:right w:val="none" w:sz="0" w:space="0" w:color="auto"/>
      </w:divBdr>
    </w:div>
    <w:div w:id="1182012085">
      <w:bodyDiv w:val="1"/>
      <w:marLeft w:val="0"/>
      <w:marRight w:val="0"/>
      <w:marTop w:val="0"/>
      <w:marBottom w:val="0"/>
      <w:divBdr>
        <w:top w:val="none" w:sz="0" w:space="0" w:color="auto"/>
        <w:left w:val="none" w:sz="0" w:space="0" w:color="auto"/>
        <w:bottom w:val="none" w:sz="0" w:space="0" w:color="auto"/>
        <w:right w:val="none" w:sz="0" w:space="0" w:color="auto"/>
      </w:divBdr>
    </w:div>
    <w:div w:id="1267813408">
      <w:bodyDiv w:val="1"/>
      <w:marLeft w:val="0"/>
      <w:marRight w:val="0"/>
      <w:marTop w:val="0"/>
      <w:marBottom w:val="0"/>
      <w:divBdr>
        <w:top w:val="none" w:sz="0" w:space="0" w:color="auto"/>
        <w:left w:val="none" w:sz="0" w:space="0" w:color="auto"/>
        <w:bottom w:val="none" w:sz="0" w:space="0" w:color="auto"/>
        <w:right w:val="none" w:sz="0" w:space="0" w:color="auto"/>
      </w:divBdr>
    </w:div>
    <w:div w:id="1685665995">
      <w:bodyDiv w:val="1"/>
      <w:marLeft w:val="0"/>
      <w:marRight w:val="0"/>
      <w:marTop w:val="0"/>
      <w:marBottom w:val="0"/>
      <w:divBdr>
        <w:top w:val="none" w:sz="0" w:space="0" w:color="auto"/>
        <w:left w:val="none" w:sz="0" w:space="0" w:color="auto"/>
        <w:bottom w:val="none" w:sz="0" w:space="0" w:color="auto"/>
        <w:right w:val="none" w:sz="0" w:space="0" w:color="auto"/>
      </w:divBdr>
    </w:div>
    <w:div w:id="1797143417">
      <w:bodyDiv w:val="1"/>
      <w:marLeft w:val="0"/>
      <w:marRight w:val="0"/>
      <w:marTop w:val="0"/>
      <w:marBottom w:val="0"/>
      <w:divBdr>
        <w:top w:val="none" w:sz="0" w:space="0" w:color="auto"/>
        <w:left w:val="none" w:sz="0" w:space="0" w:color="auto"/>
        <w:bottom w:val="none" w:sz="0" w:space="0" w:color="auto"/>
        <w:right w:val="none" w:sz="0" w:space="0" w:color="auto"/>
      </w:divBdr>
    </w:div>
    <w:div w:id="1911577656">
      <w:bodyDiv w:val="1"/>
      <w:marLeft w:val="0"/>
      <w:marRight w:val="0"/>
      <w:marTop w:val="0"/>
      <w:marBottom w:val="0"/>
      <w:divBdr>
        <w:top w:val="none" w:sz="0" w:space="0" w:color="auto"/>
        <w:left w:val="none" w:sz="0" w:space="0" w:color="auto"/>
        <w:bottom w:val="none" w:sz="0" w:space="0" w:color="auto"/>
        <w:right w:val="none" w:sz="0" w:space="0" w:color="auto"/>
      </w:divBdr>
    </w:div>
    <w:div w:id="199780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2.health.wa.gov.au/-/media/Corp/Documents/Health%20for/Infectious%20disease/OZfoodnet/Word/WA-OzFoodnet-appendix2-2020-Q1.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2.health.wa.gov.au/-/media/Corp/Documents/Health%20for/Infectious%20disease/OZfoodnet/Word/WA-OzFoodnet-appendix2-2020-Q1.doc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2.health.wa.gov.au/-/media/Corp/Documents/Health%20for/Infectious%20disease/OZfoodnet/Word/WA-OzFoodnet-appendix1-2020-Q1.doc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2.health.wa.gov.au/-/media/Corp/Documents/Health%20for/Infectious%20disease/OZfoodnet/Word/WA-OzFoodnet-appendix1-2020-Q1.docx" TargetMode="Externa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6A180-D800-4654-B626-988FF7F78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 Health</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Witham, Benjamin</dc:creator>
  <cp:lastModifiedBy>Witham, Benjamin</cp:lastModifiedBy>
  <cp:revision>4</cp:revision>
  <dcterms:created xsi:type="dcterms:W3CDTF">2020-08-11T02:10:00Z</dcterms:created>
  <dcterms:modified xsi:type="dcterms:W3CDTF">2021-03-15T01:31:00Z</dcterms:modified>
</cp:coreProperties>
</file>